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A9E9A">
      <w:pPr>
        <w:pStyle w:val="2"/>
        <w:bidi w:val="0"/>
      </w:pPr>
      <w:bookmarkStart w:id="0" w:name="_Toc3237"/>
      <w:bookmarkStart w:id="1" w:name="OLE_LINK15"/>
      <w:r>
        <w:rPr>
          <w:rFonts w:hint="eastAsia"/>
        </w:rPr>
        <w:t>统计与数据科学学院经济统计学</w:t>
      </w:r>
      <w:r>
        <w:t>专业</w:t>
      </w:r>
      <w:r>
        <w:rPr>
          <w:rFonts w:hint="eastAsia"/>
        </w:rPr>
        <w:t>金融统计与风险管理方向2025级本科</w:t>
      </w:r>
      <w:r>
        <w:t>培养方案</w:t>
      </w:r>
    </w:p>
    <w:p w14:paraId="50A36F0F">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指导思想</w:t>
      </w:r>
    </w:p>
    <w:p w14:paraId="77024AE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按照上海财经大学章程的要求，经济统计学专业依托国家“双一流”学科发展战略，加强数理计算能力和经济管理基础教学，实行专业教育和通识教育相结合，使学生具有良好的数学、外语、经济学与统计学素养、人文精神、科学素养、国际视野、较强的创新精神和实践能力。</w:t>
      </w:r>
    </w:p>
    <w:p w14:paraId="2DFFF056">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b/>
          <w:bCs/>
          <w:color w:val="auto"/>
          <w:kern w:val="0"/>
          <w:szCs w:val="21"/>
        </w:rPr>
      </w:pPr>
      <w:r>
        <w:rPr>
          <w:rFonts w:hint="eastAsia" w:ascii="华文中宋" w:hAnsi="华文中宋" w:eastAsia="华文中宋" w:cs="华文中宋"/>
          <w:color w:val="auto"/>
          <w:kern w:val="0"/>
          <w:szCs w:val="21"/>
        </w:rPr>
        <w:t>实行“专通结合”和“复合型”人才教育，以增强经济统计学专业毕业生的适应性；加强基础教学，拓宽专业口径；合理设置和安排课程体系，优化学生的知识结构；力求知识、能力和素质的协调发展，注重对学生综合素质的培养；积极推行创新教育，鼓励尖子人才脱颖而出。</w:t>
      </w:r>
    </w:p>
    <w:p w14:paraId="4EB3CF1C">
      <w:pPr>
        <w:pageBreakBefore w:val="0"/>
        <w:widowControl/>
        <w:kinsoku/>
        <w:wordWrap/>
        <w:overflowPunct/>
        <w:topLinePunct w:val="0"/>
        <w:autoSpaceDE/>
        <w:autoSpaceDN/>
        <w:bidi w:val="0"/>
        <w:adjustRightInd/>
        <w:snapToGrid/>
        <w:jc w:val="left"/>
        <w:outlineLvl w:val="9"/>
        <w:rPr>
          <w:rFonts w:ascii="Segoe UI" w:hAnsi="Segoe UI" w:eastAsia="宋体" w:cs="Segoe UI"/>
          <w:i/>
          <w:color w:val="auto"/>
          <w:kern w:val="0"/>
          <w:szCs w:val="21"/>
        </w:rPr>
      </w:pPr>
    </w:p>
    <w:p w14:paraId="631D4407">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培养目标</w:t>
      </w:r>
    </w:p>
    <w:p w14:paraId="364E2D6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以习近平新时代中国特色社会主义思想为指导，全面落实立德树人根本任务，坚持社会主义办学方向，致力于培养德智体美劳全面发展，具有坚定政治认同、深厚家国情怀、远大理想信念、优良道德修养、健全法治意识、高尚职业伦理和扎实文化素养，服务国家战略与经济社会发展需求的一流卓越财经人才。学生将系统掌握坚实的统计学、经济学与金融学理论基础，精通经济金融数据分析方法与风险管理技术，具备良好的人文素养、AI素养与文化自信。通过通识与基础课程（数理、外语、体育、健康、人工智能）、融合性专业课程（经济、金融、统计、计算机）以及实践创新环节（案例教学、实践项目、实习实训），重点培养学生具备扎实的数理与信息技术基础、运用定量工具解决复杂经济金融问题的复合型专业能力、以及逻辑思维、独立研究与创新应用能力。毕业生将成为兼具统计思维与经济金融视野的复合创新型卓越人才，胜任政府部门、金融机构、监管机构及企业中的经济预测、数据分析、风险评估、量化建模、决策支持等工作，并具备国内外深造或创业发展的潜力。</w:t>
      </w:r>
    </w:p>
    <w:p w14:paraId="73DDE9E2">
      <w:pPr>
        <w:pageBreakBefore w:val="0"/>
        <w:widowControl/>
        <w:kinsoku/>
        <w:wordWrap/>
        <w:overflowPunct/>
        <w:topLinePunct w:val="0"/>
        <w:autoSpaceDE/>
        <w:autoSpaceDN/>
        <w:bidi w:val="0"/>
        <w:adjustRightInd/>
        <w:snapToGrid/>
        <w:jc w:val="left"/>
        <w:outlineLvl w:val="9"/>
        <w:rPr>
          <w:rFonts w:hint="eastAsia" w:ascii="宋体" w:hAnsi="宋体" w:eastAsia="宋体" w:cs="Segoe UI"/>
          <w:b/>
          <w:bCs/>
          <w:i/>
          <w:color w:val="auto"/>
          <w:kern w:val="0"/>
          <w:szCs w:val="21"/>
          <w:u w:val="single"/>
        </w:rPr>
      </w:pPr>
    </w:p>
    <w:p w14:paraId="23628780">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培养要求</w:t>
      </w:r>
    </w:p>
    <w:p w14:paraId="2E5F0F8E">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color w:val="auto"/>
          <w:kern w:val="0"/>
          <w:szCs w:val="21"/>
        </w:rPr>
        <w:t>本专业毕业生</w:t>
      </w:r>
      <w:r>
        <w:rPr>
          <w:rFonts w:hint="eastAsia" w:ascii="华文中宋" w:hAnsi="华文中宋" w:eastAsia="华文中宋" w:cs="华文中宋"/>
          <w:color w:val="auto"/>
          <w:kern w:val="0"/>
          <w:szCs w:val="21"/>
        </w:rPr>
        <w:t>通过在校学习，在思想政治、专业知识和人品素质等方面应达到以下要求</w:t>
      </w:r>
      <w:r>
        <w:rPr>
          <w:rFonts w:ascii="华文中宋" w:hAnsi="华文中宋" w:eastAsia="华文中宋" w:cs="华文中宋"/>
          <w:color w:val="auto"/>
          <w:kern w:val="0"/>
          <w:szCs w:val="21"/>
        </w:rPr>
        <w:t>：</w:t>
      </w:r>
    </w:p>
    <w:p w14:paraId="0FE47ABA">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b/>
          <w:bCs/>
          <w:color w:val="auto"/>
          <w:kern w:val="0"/>
          <w:szCs w:val="21"/>
        </w:rPr>
        <w:t>1. 思想政治与品德修养：</w:t>
      </w:r>
      <w:r>
        <w:rPr>
          <w:rFonts w:ascii="华文中宋" w:hAnsi="华文中宋" w:eastAsia="华文中宋" w:cs="华文中宋"/>
          <w:color w:val="auto"/>
          <w:kern w:val="0"/>
          <w:szCs w:val="21"/>
        </w:rPr>
        <w:t> 坚定拥护中国共产党领导和中国特色社会主义制度，深刻理解习近平新时代中国特色社会主义思想，具备深厚的家国情怀、崇高的理想信念与高度的社会责任感。恪守职业道德与法治精神，具备良好的道德修养、诚信品质、文化素养和健全人格。</w:t>
      </w:r>
    </w:p>
    <w:p w14:paraId="4B44F7A1">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b/>
          <w:bCs/>
          <w:color w:val="auto"/>
          <w:kern w:val="0"/>
          <w:szCs w:val="21"/>
        </w:rPr>
        <w:t>2. 知识结构与理论基础：</w:t>
      </w:r>
      <w:r>
        <w:rPr>
          <w:rFonts w:ascii="华文中宋" w:hAnsi="华文中宋" w:eastAsia="华文中宋" w:cs="华文中宋"/>
          <w:color w:val="auto"/>
          <w:kern w:val="0"/>
          <w:szCs w:val="21"/>
        </w:rPr>
        <w:t> 系统掌握扎实的数学、统计学、经济学和金融学理论基础；精通经济与金融数据分析方法、金融风险管理技术与量化建模理论；了解大数据、人工智能（AI）等现代信息技术在本领域的应用前沿与发展趋势。</w:t>
      </w:r>
    </w:p>
    <w:p w14:paraId="2FDCAEF6">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ascii="华文中宋" w:hAnsi="华文中宋" w:eastAsia="华文中宋" w:cs="华文中宋"/>
          <w:color w:val="auto"/>
          <w:kern w:val="0"/>
          <w:szCs w:val="21"/>
        </w:rPr>
      </w:pPr>
      <w:r>
        <w:rPr>
          <w:rFonts w:ascii="华文中宋" w:hAnsi="华文中宋" w:eastAsia="华文中宋" w:cs="华文中宋"/>
          <w:b/>
          <w:bCs/>
          <w:color w:val="auto"/>
          <w:kern w:val="0"/>
          <w:szCs w:val="21"/>
        </w:rPr>
        <w:t>3. 专业能力与综合素质：</w:t>
      </w:r>
      <w:r>
        <w:rPr>
          <w:rFonts w:ascii="华文中宋" w:hAnsi="华文中宋" w:eastAsia="华文中宋" w:cs="华文中宋"/>
          <w:color w:val="auto"/>
          <w:kern w:val="0"/>
          <w:szCs w:val="21"/>
        </w:rPr>
        <w:t> 具备运用定量分析工具（包括现代信息技术与AI工具）独立解决复杂经济金融问题的复合型能力；拥有敏锐的统计思维、经济金融视野、严谨的逻辑推理能力与批判性思维；掌握有效的沟通协作技巧，具备持续学习和知识更新的能力；拥有健康的体魄和良好的心理素质。</w:t>
      </w:r>
    </w:p>
    <w:p w14:paraId="2DD1A97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ascii="华文中宋" w:hAnsi="华文中宋" w:eastAsia="华文中宋" w:cs="华文中宋"/>
          <w:b/>
          <w:bCs/>
          <w:color w:val="auto"/>
          <w:kern w:val="0"/>
          <w:szCs w:val="21"/>
        </w:rPr>
        <w:t>4. 实践应用与创新精神：</w:t>
      </w:r>
      <w:r>
        <w:rPr>
          <w:rFonts w:ascii="华文中宋" w:hAnsi="华文中宋" w:eastAsia="华文中宋" w:cs="华文中宋"/>
          <w:color w:val="auto"/>
          <w:kern w:val="0"/>
          <w:szCs w:val="21"/>
        </w:rPr>
        <w:t> 能够理论联系实际，通过案例分析与实习实践，将所学知识应用于经济预测、风险评估、量化投资、决策支持等实际工作场景；具备创新意识与实践能力，能够适应数据驱动决策的需求，应对金融领域的新挑战与新机遇。</w:t>
      </w:r>
    </w:p>
    <w:p w14:paraId="3658E8DB">
      <w:pPr>
        <w:pageBreakBefore w:val="0"/>
        <w:widowControl/>
        <w:kinsoku/>
        <w:wordWrap/>
        <w:overflowPunct/>
        <w:topLinePunct w:val="0"/>
        <w:autoSpaceDE/>
        <w:autoSpaceDN/>
        <w:bidi w:val="0"/>
        <w:adjustRightInd/>
        <w:snapToGrid/>
        <w:jc w:val="left"/>
        <w:outlineLvl w:val="9"/>
        <w:rPr>
          <w:rFonts w:hint="eastAsia" w:ascii="宋体" w:hAnsi="宋体" w:eastAsia="宋体" w:cs="Segoe UI"/>
          <w:i/>
          <w:color w:val="auto"/>
          <w:kern w:val="0"/>
          <w:szCs w:val="21"/>
          <w:lang w:val="zh-CN"/>
        </w:rPr>
      </w:pPr>
    </w:p>
    <w:p w14:paraId="0BE9F174">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培养计划</w:t>
      </w:r>
    </w:p>
    <w:p w14:paraId="28E0A517">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I、</w:t>
      </w:r>
      <w:r>
        <w:rPr>
          <w:b/>
          <w:bCs/>
          <w:color w:val="auto"/>
          <w:szCs w:val="21"/>
        </w:rPr>
        <w:t xml:space="preserve">课程设置与修读要求 : </w:t>
      </w:r>
    </w:p>
    <w:p w14:paraId="4D2A34CD">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（一）通识教育模块（46学分）</w:t>
      </w:r>
    </w:p>
    <w:p w14:paraId="67388751">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通识教育</w:t>
      </w:r>
      <w:r>
        <w:rPr>
          <w:rFonts w:hint="eastAsia"/>
          <w:color w:val="auto"/>
          <w:szCs w:val="21"/>
        </w:rPr>
        <w:t>模块</w:t>
      </w:r>
      <w:r>
        <w:rPr>
          <w:color w:val="auto"/>
          <w:szCs w:val="21"/>
        </w:rPr>
        <w:t>包括</w:t>
      </w:r>
      <w:r>
        <w:rPr>
          <w:rFonts w:hint="eastAsia"/>
          <w:color w:val="auto"/>
          <w:szCs w:val="21"/>
        </w:rPr>
        <w:t>通识教育核心课程</w:t>
      </w:r>
      <w:r>
        <w:rPr>
          <w:color w:val="auto"/>
          <w:szCs w:val="21"/>
        </w:rPr>
        <w:t xml:space="preserve">和专项教育课程。 </w:t>
      </w:r>
    </w:p>
    <w:p w14:paraId="7EAC2F60">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1.通识教育核心课程（23学分）</w:t>
      </w:r>
    </w:p>
    <w:p w14:paraId="2EA266DE">
      <w:pPr>
        <w:pageBreakBefore w:val="0"/>
        <w:kinsoku/>
        <w:wordWrap/>
        <w:overflowPunct/>
        <w:topLinePunct w:val="0"/>
        <w:autoSpaceDE/>
        <w:autoSpaceDN/>
        <w:bidi w:val="0"/>
        <w:adjustRightInd/>
        <w:snapToGrid/>
        <w:ind w:firstLine="420" w:firstLineChars="200"/>
        <w:outlineLvl w:val="9"/>
        <w:rPr>
          <w:rFonts w:asciiTheme="minorHAnsi" w:hAnsiTheme="minorHAnsi" w:eastAsiaTheme="minorEastAsia" w:cstheme="minorBidi"/>
          <w:color w:val="auto"/>
          <w:szCs w:val="21"/>
        </w:rPr>
      </w:pPr>
      <w:r>
        <w:rPr>
          <w:color w:val="auto"/>
          <w:szCs w:val="21"/>
        </w:rPr>
        <w:t>要求修读 2</w:t>
      </w:r>
      <w:r>
        <w:rPr>
          <w:rFonts w:hint="eastAsia"/>
          <w:color w:val="auto"/>
          <w:szCs w:val="21"/>
        </w:rPr>
        <w:t>3</w:t>
      </w:r>
      <w:r>
        <w:rPr>
          <w:color w:val="auto"/>
          <w:szCs w:val="21"/>
        </w:rPr>
        <w:t xml:space="preserve"> 学分，含思想政治理论课 1</w:t>
      </w:r>
      <w:r>
        <w:rPr>
          <w:rFonts w:hint="eastAsia"/>
          <w:color w:val="auto"/>
          <w:szCs w:val="21"/>
        </w:rPr>
        <w:t>5</w:t>
      </w:r>
      <w:r>
        <w:rPr>
          <w:color w:val="auto"/>
          <w:szCs w:val="21"/>
        </w:rPr>
        <w:t xml:space="preserve"> 学分，</w:t>
      </w:r>
      <w:r>
        <w:rPr>
          <w:rFonts w:hint="eastAsia"/>
          <w:color w:val="auto"/>
          <w:szCs w:val="21"/>
        </w:rPr>
        <w:t>通识限选</w:t>
      </w:r>
      <w:r>
        <w:rPr>
          <w:color w:val="auto"/>
          <w:szCs w:val="21"/>
        </w:rPr>
        <w:t>七大模块课程</w:t>
      </w:r>
      <w:r>
        <w:rPr>
          <w:rFonts w:hint="eastAsia"/>
          <w:color w:val="auto"/>
          <w:szCs w:val="21"/>
        </w:rPr>
        <w:t>8</w:t>
      </w:r>
      <w:r>
        <w:rPr>
          <w:color w:val="auto"/>
          <w:szCs w:val="21"/>
        </w:rPr>
        <w:t>学分（</w:t>
      </w:r>
      <w:r>
        <w:rPr>
          <w:rFonts w:hint="eastAsia"/>
          <w:color w:val="auto"/>
          <w:szCs w:val="21"/>
        </w:rPr>
        <w:t>七个模块中任选四个修读</w:t>
      </w:r>
      <w:r>
        <w:rPr>
          <w:color w:val="auto"/>
          <w:szCs w:val="21"/>
        </w:rPr>
        <w:t>），</w:t>
      </w:r>
      <w:r>
        <w:rPr>
          <w:rFonts w:hint="eastAsia"/>
          <w:color w:val="auto"/>
          <w:szCs w:val="21"/>
        </w:rPr>
        <w:t>具体要求</w:t>
      </w:r>
      <w:r>
        <w:rPr>
          <w:color w:val="auto"/>
          <w:szCs w:val="21"/>
        </w:rPr>
        <w:t>详见通识限选七大模块课程培养方案</w:t>
      </w:r>
      <w:r>
        <w:rPr>
          <w:rFonts w:hint="eastAsia"/>
          <w:color w:val="auto"/>
          <w:szCs w:val="21"/>
        </w:rPr>
        <w:t>和本</w:t>
      </w:r>
      <w:r>
        <w:rPr>
          <w:color w:val="auto"/>
          <w:szCs w:val="21"/>
        </w:rPr>
        <w:t xml:space="preserve">专业修读建议。 </w:t>
      </w:r>
    </w:p>
    <w:p w14:paraId="27512931">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2.</w:t>
      </w:r>
      <w:r>
        <w:rPr>
          <w:rFonts w:hint="eastAsia"/>
          <w:b/>
          <w:bCs/>
          <w:color w:val="auto"/>
          <w:szCs w:val="21"/>
        </w:rPr>
        <w:t>专项教育课程（23学分）</w:t>
      </w:r>
    </w:p>
    <w:p w14:paraId="6FA60EC5">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要求修读</w:t>
      </w:r>
      <w:r>
        <w:rPr>
          <w:rFonts w:hint="eastAsia"/>
          <w:color w:val="auto"/>
          <w:szCs w:val="21"/>
        </w:rPr>
        <w:t>23</w:t>
      </w:r>
      <w:r>
        <w:rPr>
          <w:color w:val="auto"/>
          <w:szCs w:val="21"/>
        </w:rPr>
        <w:t>学分，</w:t>
      </w:r>
      <w:r>
        <w:rPr>
          <w:rFonts w:hint="eastAsia"/>
          <w:color w:val="auto"/>
          <w:szCs w:val="21"/>
        </w:rPr>
        <w:t>具体要求</w:t>
      </w:r>
      <w:r>
        <w:rPr>
          <w:color w:val="auto"/>
          <w:szCs w:val="21"/>
        </w:rPr>
        <w:t>详见</w:t>
      </w:r>
      <w:r>
        <w:rPr>
          <w:rFonts w:hint="eastAsia"/>
          <w:color w:val="auto"/>
          <w:szCs w:val="21"/>
        </w:rPr>
        <w:t>各</w:t>
      </w:r>
      <w:r>
        <w:rPr>
          <w:color w:val="auto"/>
          <w:szCs w:val="21"/>
        </w:rPr>
        <w:t>专项教育</w:t>
      </w:r>
      <w:r>
        <w:rPr>
          <w:rFonts w:hint="eastAsia"/>
          <w:color w:val="auto"/>
          <w:szCs w:val="21"/>
        </w:rPr>
        <w:t>培养方案和本</w:t>
      </w:r>
      <w:r>
        <w:rPr>
          <w:color w:val="auto"/>
          <w:szCs w:val="21"/>
        </w:rPr>
        <w:t xml:space="preserve">专业修读建议。 </w:t>
      </w:r>
    </w:p>
    <w:p w14:paraId="509190D4">
      <w:pPr>
        <w:pageBreakBefore w:val="0"/>
        <w:kinsoku/>
        <w:wordWrap/>
        <w:overflowPunct/>
        <w:topLinePunct w:val="0"/>
        <w:autoSpaceDE/>
        <w:autoSpaceDN/>
        <w:bidi w:val="0"/>
        <w:adjustRightInd/>
        <w:snapToGrid/>
        <w:ind w:firstLine="420" w:firstLineChars="200"/>
        <w:outlineLvl w:val="9"/>
        <w:rPr>
          <w:color w:val="auto"/>
          <w:szCs w:val="21"/>
        </w:rPr>
      </w:pPr>
    </w:p>
    <w:p w14:paraId="7B6DF931">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（二）专业培养模块 （61学分）</w:t>
      </w:r>
    </w:p>
    <w:p w14:paraId="44FDC762">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专业培养</w:t>
      </w:r>
      <w:r>
        <w:rPr>
          <w:rFonts w:hint="eastAsia"/>
          <w:color w:val="auto"/>
          <w:szCs w:val="21"/>
        </w:rPr>
        <w:t>模块</w:t>
      </w:r>
      <w:r>
        <w:rPr>
          <w:color w:val="auto"/>
          <w:szCs w:val="21"/>
        </w:rPr>
        <w:t>包括</w:t>
      </w:r>
      <w:r>
        <w:rPr>
          <w:rFonts w:hint="eastAsia"/>
          <w:color w:val="auto"/>
          <w:szCs w:val="21"/>
        </w:rPr>
        <w:t>学科共同</w:t>
      </w:r>
      <w:r>
        <w:rPr>
          <w:color w:val="auto"/>
          <w:szCs w:val="21"/>
        </w:rPr>
        <w:t>课和专业</w:t>
      </w:r>
      <w:r>
        <w:rPr>
          <w:rFonts w:hint="eastAsia"/>
          <w:color w:val="auto"/>
          <w:szCs w:val="21"/>
        </w:rPr>
        <w:t>基础</w:t>
      </w:r>
      <w:r>
        <w:rPr>
          <w:color w:val="auto"/>
          <w:szCs w:val="21"/>
        </w:rPr>
        <w:t xml:space="preserve">课。 </w:t>
      </w:r>
    </w:p>
    <w:p w14:paraId="56D6DABC">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1.学科共同课（39学分）</w:t>
      </w:r>
    </w:p>
    <w:p w14:paraId="0B9239DD">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课程设置</w:t>
      </w:r>
      <w:r>
        <w:rPr>
          <w:rFonts w:hint="eastAsia"/>
          <w:color w:val="auto"/>
          <w:szCs w:val="21"/>
        </w:rPr>
        <w:t>如下：</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1816"/>
        <w:gridCol w:w="805"/>
        <w:gridCol w:w="1130"/>
        <w:gridCol w:w="2013"/>
      </w:tblGrid>
      <w:tr w14:paraId="37C3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vAlign w:val="center"/>
          </w:tcPr>
          <w:p w14:paraId="03C2856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课程名称</w:t>
            </w:r>
          </w:p>
        </w:tc>
        <w:tc>
          <w:tcPr>
            <w:tcW w:w="1065" w:type="pct"/>
            <w:vAlign w:val="center"/>
          </w:tcPr>
          <w:p w14:paraId="5884FAD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课程代码</w:t>
            </w:r>
          </w:p>
        </w:tc>
        <w:tc>
          <w:tcPr>
            <w:tcW w:w="472" w:type="pct"/>
            <w:vAlign w:val="center"/>
          </w:tcPr>
          <w:p w14:paraId="0097E0F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学分</w:t>
            </w:r>
          </w:p>
        </w:tc>
        <w:tc>
          <w:tcPr>
            <w:tcW w:w="663" w:type="pct"/>
            <w:vAlign w:val="center"/>
          </w:tcPr>
          <w:p w14:paraId="5D9D91C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开课学期</w:t>
            </w:r>
          </w:p>
        </w:tc>
        <w:tc>
          <w:tcPr>
            <w:tcW w:w="1181" w:type="pct"/>
            <w:vAlign w:val="center"/>
          </w:tcPr>
          <w:p w14:paraId="00EDA44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备注</w:t>
            </w:r>
          </w:p>
        </w:tc>
      </w:tr>
      <w:tr w14:paraId="22C1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616" w:type="pct"/>
            <w:shd w:val="clear" w:color="auto" w:fill="auto"/>
            <w:vAlign w:val="center"/>
          </w:tcPr>
          <w:p w14:paraId="58E1EA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bookmarkStart w:id="2" w:name="OLE_LINK29" w:colFirst="0" w:colLast="0"/>
            <w:bookmarkStart w:id="3" w:name="OLE_LINK30" w:colFirst="2" w:colLast="2"/>
            <w:r>
              <w:rPr>
                <w:rFonts w:hint="eastAsia" w:ascii="微软雅黑" w:hAnsi="微软雅黑" w:cs="微软雅黑"/>
                <w:color w:val="auto"/>
                <w:kern w:val="0"/>
                <w:sz w:val="18"/>
                <w:szCs w:val="18"/>
                <w:lang w:bidi="ar"/>
              </w:rPr>
              <w:t>数学分析I</w:t>
            </w:r>
          </w:p>
        </w:tc>
        <w:tc>
          <w:tcPr>
            <w:tcW w:w="1065" w:type="pct"/>
            <w:shd w:val="clear" w:color="auto" w:fill="auto"/>
            <w:vAlign w:val="center"/>
          </w:tcPr>
          <w:p w14:paraId="6DF6948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100693</w:t>
            </w:r>
          </w:p>
        </w:tc>
        <w:tc>
          <w:tcPr>
            <w:tcW w:w="472" w:type="pct"/>
            <w:shd w:val="clear" w:color="auto" w:fill="auto"/>
            <w:vAlign w:val="center"/>
          </w:tcPr>
          <w:p w14:paraId="27AC9FF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6</w:t>
            </w:r>
          </w:p>
        </w:tc>
        <w:tc>
          <w:tcPr>
            <w:tcW w:w="663" w:type="pct"/>
            <w:shd w:val="clear" w:color="auto" w:fill="auto"/>
            <w:vAlign w:val="center"/>
          </w:tcPr>
          <w:p w14:paraId="24808A2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w:t>
            </w:r>
          </w:p>
        </w:tc>
        <w:tc>
          <w:tcPr>
            <w:tcW w:w="1181" w:type="pct"/>
            <w:vMerge w:val="restart"/>
            <w:shd w:val="clear" w:color="auto" w:fill="auto"/>
            <w:vAlign w:val="center"/>
          </w:tcPr>
          <w:p w14:paraId="7240334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必修</w:t>
            </w:r>
          </w:p>
          <w:p w14:paraId="23FC57CE">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 w:val="18"/>
                <w:szCs w:val="18"/>
              </w:rPr>
              <w:t>（数理基础课）</w:t>
            </w:r>
          </w:p>
        </w:tc>
      </w:tr>
      <w:tr w14:paraId="4717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6A4FCC9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数学分析II</w:t>
            </w:r>
          </w:p>
        </w:tc>
        <w:tc>
          <w:tcPr>
            <w:tcW w:w="1065" w:type="pct"/>
            <w:shd w:val="clear" w:color="auto" w:fill="auto"/>
            <w:vAlign w:val="center"/>
          </w:tcPr>
          <w:p w14:paraId="12680DB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105308</w:t>
            </w:r>
          </w:p>
        </w:tc>
        <w:tc>
          <w:tcPr>
            <w:tcW w:w="472" w:type="pct"/>
            <w:shd w:val="clear" w:color="auto" w:fill="auto"/>
            <w:vAlign w:val="center"/>
          </w:tcPr>
          <w:p w14:paraId="3CE368B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6</w:t>
            </w:r>
          </w:p>
        </w:tc>
        <w:tc>
          <w:tcPr>
            <w:tcW w:w="663" w:type="pct"/>
            <w:shd w:val="clear" w:color="auto" w:fill="auto"/>
            <w:vAlign w:val="center"/>
          </w:tcPr>
          <w:p w14:paraId="7B36287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1181" w:type="pct"/>
            <w:vMerge w:val="continue"/>
            <w:shd w:val="clear" w:color="auto" w:fill="auto"/>
          </w:tcPr>
          <w:p w14:paraId="67BC8A6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D9C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5BA06ED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数学分析III</w:t>
            </w:r>
          </w:p>
        </w:tc>
        <w:tc>
          <w:tcPr>
            <w:tcW w:w="1065" w:type="pct"/>
            <w:shd w:val="clear" w:color="auto" w:fill="auto"/>
            <w:vAlign w:val="center"/>
          </w:tcPr>
          <w:p w14:paraId="34C8454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105309</w:t>
            </w:r>
          </w:p>
        </w:tc>
        <w:tc>
          <w:tcPr>
            <w:tcW w:w="472" w:type="pct"/>
            <w:shd w:val="clear" w:color="auto" w:fill="auto"/>
            <w:vAlign w:val="center"/>
          </w:tcPr>
          <w:p w14:paraId="0216B09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4</w:t>
            </w:r>
          </w:p>
        </w:tc>
        <w:tc>
          <w:tcPr>
            <w:tcW w:w="663" w:type="pct"/>
            <w:shd w:val="clear" w:color="auto" w:fill="auto"/>
            <w:vAlign w:val="center"/>
          </w:tcPr>
          <w:p w14:paraId="3B80D3F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1181" w:type="pct"/>
            <w:vMerge w:val="continue"/>
            <w:shd w:val="clear" w:color="auto" w:fill="auto"/>
          </w:tcPr>
          <w:p w14:paraId="584F848A">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C08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7B71816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概率论</w:t>
            </w:r>
          </w:p>
        </w:tc>
        <w:tc>
          <w:tcPr>
            <w:tcW w:w="1065" w:type="pct"/>
            <w:shd w:val="clear" w:color="auto" w:fill="auto"/>
            <w:vAlign w:val="center"/>
          </w:tcPr>
          <w:p w14:paraId="4C7E5A1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105494</w:t>
            </w:r>
          </w:p>
        </w:tc>
        <w:tc>
          <w:tcPr>
            <w:tcW w:w="472" w:type="pct"/>
            <w:shd w:val="clear" w:color="auto" w:fill="auto"/>
            <w:vAlign w:val="center"/>
          </w:tcPr>
          <w:p w14:paraId="2653AA3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663" w:type="pct"/>
            <w:shd w:val="clear" w:color="auto" w:fill="auto"/>
            <w:vAlign w:val="center"/>
          </w:tcPr>
          <w:p w14:paraId="72B66CE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1181" w:type="pct"/>
            <w:vMerge w:val="continue"/>
            <w:shd w:val="clear" w:color="auto" w:fill="auto"/>
            <w:vAlign w:val="center"/>
          </w:tcPr>
          <w:p w14:paraId="5B7CC11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59E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502A6A9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数理统计</w:t>
            </w:r>
          </w:p>
        </w:tc>
        <w:tc>
          <w:tcPr>
            <w:tcW w:w="1065" w:type="pct"/>
            <w:shd w:val="clear" w:color="auto" w:fill="auto"/>
            <w:vAlign w:val="center"/>
          </w:tcPr>
          <w:p w14:paraId="06487C6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102480</w:t>
            </w:r>
          </w:p>
        </w:tc>
        <w:tc>
          <w:tcPr>
            <w:tcW w:w="472" w:type="pct"/>
            <w:shd w:val="clear" w:color="auto" w:fill="auto"/>
            <w:vAlign w:val="center"/>
          </w:tcPr>
          <w:p w14:paraId="25D82DF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663" w:type="pct"/>
            <w:shd w:val="clear" w:color="auto" w:fill="auto"/>
            <w:vAlign w:val="center"/>
          </w:tcPr>
          <w:p w14:paraId="7168345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4</w:t>
            </w:r>
          </w:p>
        </w:tc>
        <w:tc>
          <w:tcPr>
            <w:tcW w:w="1181" w:type="pct"/>
            <w:vMerge w:val="continue"/>
            <w:shd w:val="clear" w:color="auto" w:fill="auto"/>
            <w:vAlign w:val="center"/>
          </w:tcPr>
          <w:p w14:paraId="45AC149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7C1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673CF65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计算机编程</w:t>
            </w:r>
          </w:p>
        </w:tc>
        <w:tc>
          <w:tcPr>
            <w:tcW w:w="1065" w:type="pct"/>
            <w:shd w:val="clear" w:color="auto" w:fill="auto"/>
            <w:vAlign w:val="center"/>
          </w:tcPr>
          <w:p w14:paraId="28C45CF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101828</w:t>
            </w:r>
          </w:p>
        </w:tc>
        <w:tc>
          <w:tcPr>
            <w:tcW w:w="472" w:type="pct"/>
            <w:shd w:val="clear" w:color="auto" w:fill="auto"/>
            <w:vAlign w:val="center"/>
          </w:tcPr>
          <w:p w14:paraId="102F9AB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663" w:type="pct"/>
            <w:shd w:val="clear" w:color="auto" w:fill="auto"/>
            <w:vAlign w:val="center"/>
          </w:tcPr>
          <w:p w14:paraId="0D4F4BA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1181" w:type="pct"/>
            <w:vMerge w:val="continue"/>
            <w:shd w:val="clear" w:color="auto" w:fill="auto"/>
            <w:vAlign w:val="center"/>
          </w:tcPr>
          <w:p w14:paraId="3616121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3486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1338398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高等代数I</w:t>
            </w:r>
          </w:p>
        </w:tc>
        <w:tc>
          <w:tcPr>
            <w:tcW w:w="1065" w:type="pct"/>
            <w:shd w:val="clear" w:color="auto" w:fill="auto"/>
            <w:vAlign w:val="center"/>
          </w:tcPr>
          <w:p w14:paraId="6F0354D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103298</w:t>
            </w:r>
          </w:p>
        </w:tc>
        <w:tc>
          <w:tcPr>
            <w:tcW w:w="472" w:type="pct"/>
            <w:shd w:val="clear" w:color="auto" w:fill="auto"/>
            <w:vAlign w:val="center"/>
          </w:tcPr>
          <w:p w14:paraId="6DDABEC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663" w:type="pct"/>
            <w:shd w:val="clear" w:color="auto" w:fill="auto"/>
            <w:vAlign w:val="center"/>
          </w:tcPr>
          <w:p w14:paraId="7BD5D01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w:t>
            </w:r>
          </w:p>
        </w:tc>
        <w:tc>
          <w:tcPr>
            <w:tcW w:w="1181" w:type="pct"/>
            <w:vMerge w:val="continue"/>
            <w:shd w:val="clear" w:color="auto" w:fill="auto"/>
            <w:vAlign w:val="center"/>
          </w:tcPr>
          <w:p w14:paraId="549D605E">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0D9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3410E12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高等代数II</w:t>
            </w:r>
          </w:p>
        </w:tc>
        <w:tc>
          <w:tcPr>
            <w:tcW w:w="1065" w:type="pct"/>
            <w:shd w:val="clear" w:color="auto" w:fill="auto"/>
            <w:vAlign w:val="center"/>
          </w:tcPr>
          <w:p w14:paraId="0699A82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103299</w:t>
            </w:r>
          </w:p>
        </w:tc>
        <w:tc>
          <w:tcPr>
            <w:tcW w:w="472" w:type="pct"/>
            <w:shd w:val="clear" w:color="auto" w:fill="auto"/>
            <w:vAlign w:val="center"/>
          </w:tcPr>
          <w:p w14:paraId="4FD488A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663" w:type="pct"/>
            <w:shd w:val="clear" w:color="auto" w:fill="auto"/>
            <w:vAlign w:val="center"/>
          </w:tcPr>
          <w:p w14:paraId="278A65A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1181" w:type="pct"/>
            <w:vMerge w:val="continue"/>
            <w:shd w:val="clear" w:color="auto" w:fill="auto"/>
            <w:vAlign w:val="center"/>
          </w:tcPr>
          <w:p w14:paraId="03697C8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396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450C902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微观经济学</w:t>
            </w:r>
          </w:p>
        </w:tc>
        <w:tc>
          <w:tcPr>
            <w:tcW w:w="1065" w:type="pct"/>
            <w:shd w:val="clear" w:color="auto" w:fill="auto"/>
            <w:vAlign w:val="center"/>
          </w:tcPr>
          <w:p w14:paraId="0E03658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103430</w:t>
            </w:r>
          </w:p>
        </w:tc>
        <w:tc>
          <w:tcPr>
            <w:tcW w:w="472" w:type="pct"/>
            <w:shd w:val="clear" w:color="auto" w:fill="auto"/>
            <w:vAlign w:val="center"/>
          </w:tcPr>
          <w:p w14:paraId="335A381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663" w:type="pct"/>
            <w:shd w:val="clear" w:color="auto" w:fill="auto"/>
            <w:vAlign w:val="center"/>
          </w:tcPr>
          <w:p w14:paraId="2727B57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1181" w:type="pct"/>
            <w:vMerge w:val="restart"/>
            <w:shd w:val="clear" w:color="auto" w:fill="auto"/>
            <w:vAlign w:val="center"/>
          </w:tcPr>
          <w:p w14:paraId="39692C2F">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必修</w:t>
            </w:r>
          </w:p>
          <w:p w14:paraId="12D0E96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 w:val="18"/>
                <w:szCs w:val="18"/>
              </w:rPr>
              <w:t>（经济学基础模块）</w:t>
            </w:r>
          </w:p>
        </w:tc>
      </w:tr>
      <w:tr w14:paraId="78AA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5F8CA43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宏观经济学</w:t>
            </w:r>
          </w:p>
        </w:tc>
        <w:tc>
          <w:tcPr>
            <w:tcW w:w="1065" w:type="pct"/>
            <w:shd w:val="clear" w:color="auto" w:fill="auto"/>
            <w:vAlign w:val="center"/>
          </w:tcPr>
          <w:p w14:paraId="3185D73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100096</w:t>
            </w:r>
          </w:p>
        </w:tc>
        <w:tc>
          <w:tcPr>
            <w:tcW w:w="472" w:type="pct"/>
            <w:shd w:val="clear" w:color="auto" w:fill="auto"/>
            <w:vAlign w:val="center"/>
          </w:tcPr>
          <w:p w14:paraId="769EE42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663" w:type="pct"/>
            <w:shd w:val="clear" w:color="auto" w:fill="auto"/>
            <w:vAlign w:val="center"/>
          </w:tcPr>
          <w:p w14:paraId="48A461D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1181" w:type="pct"/>
            <w:vMerge w:val="continue"/>
            <w:shd w:val="clear" w:color="auto" w:fill="auto"/>
            <w:vAlign w:val="center"/>
          </w:tcPr>
          <w:p w14:paraId="654A910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507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489C067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政治经济学</w:t>
            </w:r>
          </w:p>
        </w:tc>
        <w:tc>
          <w:tcPr>
            <w:tcW w:w="1065" w:type="pct"/>
            <w:shd w:val="clear" w:color="auto" w:fill="auto"/>
            <w:vAlign w:val="center"/>
          </w:tcPr>
          <w:p w14:paraId="24B0293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101619</w:t>
            </w:r>
          </w:p>
        </w:tc>
        <w:tc>
          <w:tcPr>
            <w:tcW w:w="472" w:type="pct"/>
            <w:shd w:val="clear" w:color="auto" w:fill="auto"/>
            <w:vAlign w:val="center"/>
          </w:tcPr>
          <w:p w14:paraId="152B039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663" w:type="pct"/>
            <w:shd w:val="clear" w:color="auto" w:fill="auto"/>
            <w:vAlign w:val="center"/>
          </w:tcPr>
          <w:p w14:paraId="2E35B06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3</w:t>
            </w:r>
          </w:p>
        </w:tc>
        <w:tc>
          <w:tcPr>
            <w:tcW w:w="1181" w:type="pct"/>
            <w:vMerge w:val="continue"/>
            <w:shd w:val="clear" w:color="auto" w:fill="auto"/>
            <w:vAlign w:val="center"/>
          </w:tcPr>
          <w:p w14:paraId="5CBDB65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795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pct"/>
            <w:shd w:val="clear" w:color="auto" w:fill="auto"/>
            <w:vAlign w:val="center"/>
          </w:tcPr>
          <w:p w14:paraId="4CFA973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习近平经济思想概论</w:t>
            </w:r>
          </w:p>
        </w:tc>
        <w:tc>
          <w:tcPr>
            <w:tcW w:w="1065" w:type="pct"/>
            <w:shd w:val="clear" w:color="auto" w:fill="auto"/>
            <w:vAlign w:val="center"/>
          </w:tcPr>
          <w:p w14:paraId="4487CC7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105239</w:t>
            </w:r>
          </w:p>
        </w:tc>
        <w:tc>
          <w:tcPr>
            <w:tcW w:w="472" w:type="pct"/>
            <w:shd w:val="clear" w:color="auto" w:fill="auto"/>
            <w:vAlign w:val="center"/>
          </w:tcPr>
          <w:p w14:paraId="28BB762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2</w:t>
            </w:r>
          </w:p>
        </w:tc>
        <w:tc>
          <w:tcPr>
            <w:tcW w:w="663" w:type="pct"/>
            <w:shd w:val="clear" w:color="auto" w:fill="auto"/>
            <w:vAlign w:val="center"/>
          </w:tcPr>
          <w:p w14:paraId="3AB175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Cs w:val="21"/>
              </w:rPr>
            </w:pPr>
            <w:r>
              <w:rPr>
                <w:rFonts w:hint="eastAsia" w:ascii="微软雅黑" w:hAnsi="微软雅黑" w:cs="微软雅黑"/>
                <w:color w:val="auto"/>
                <w:kern w:val="0"/>
                <w:sz w:val="18"/>
                <w:szCs w:val="18"/>
                <w:lang w:bidi="ar"/>
              </w:rPr>
              <w:t>4</w:t>
            </w:r>
          </w:p>
        </w:tc>
        <w:tc>
          <w:tcPr>
            <w:tcW w:w="1181" w:type="pct"/>
            <w:vMerge w:val="continue"/>
            <w:shd w:val="clear" w:color="auto" w:fill="auto"/>
            <w:vAlign w:val="center"/>
          </w:tcPr>
          <w:p w14:paraId="44FEA1E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bookmarkEnd w:id="2"/>
      <w:bookmarkEnd w:id="3"/>
    </w:tbl>
    <w:p w14:paraId="35C02952">
      <w:pPr>
        <w:pageBreakBefore w:val="0"/>
        <w:kinsoku/>
        <w:wordWrap/>
        <w:overflowPunct/>
        <w:topLinePunct w:val="0"/>
        <w:autoSpaceDE/>
        <w:autoSpaceDN/>
        <w:bidi w:val="0"/>
        <w:adjustRightInd/>
        <w:snapToGrid/>
        <w:outlineLvl w:val="9"/>
        <w:rPr>
          <w:color w:val="auto"/>
          <w:szCs w:val="21"/>
        </w:rPr>
      </w:pPr>
    </w:p>
    <w:p w14:paraId="27FE0FD3">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2.专业基础课（22学分）</w:t>
      </w:r>
    </w:p>
    <w:p w14:paraId="58B1CDBE">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课程</w:t>
      </w:r>
      <w:r>
        <w:rPr>
          <w:color w:val="auto"/>
          <w:szCs w:val="21"/>
        </w:rPr>
        <w:t>设置如下：</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1"/>
        <w:gridCol w:w="1872"/>
        <w:gridCol w:w="827"/>
        <w:gridCol w:w="1103"/>
        <w:gridCol w:w="1986"/>
      </w:tblGrid>
      <w:tr w14:paraId="341A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vAlign w:val="center"/>
          </w:tcPr>
          <w:p w14:paraId="382EE5CA">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课程名称</w:t>
            </w:r>
          </w:p>
        </w:tc>
        <w:tc>
          <w:tcPr>
            <w:tcW w:w="1098" w:type="pct"/>
            <w:vAlign w:val="center"/>
          </w:tcPr>
          <w:p w14:paraId="7A324235">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课程代码</w:t>
            </w:r>
          </w:p>
        </w:tc>
        <w:tc>
          <w:tcPr>
            <w:tcW w:w="485" w:type="pct"/>
            <w:vAlign w:val="center"/>
          </w:tcPr>
          <w:p w14:paraId="7522E48F">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学分</w:t>
            </w:r>
          </w:p>
        </w:tc>
        <w:tc>
          <w:tcPr>
            <w:tcW w:w="647" w:type="pct"/>
            <w:vAlign w:val="center"/>
          </w:tcPr>
          <w:p w14:paraId="56A7452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开课学期</w:t>
            </w:r>
          </w:p>
        </w:tc>
        <w:tc>
          <w:tcPr>
            <w:tcW w:w="1165" w:type="pct"/>
            <w:vAlign w:val="center"/>
          </w:tcPr>
          <w:p w14:paraId="6A149EB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备注</w:t>
            </w:r>
          </w:p>
        </w:tc>
      </w:tr>
      <w:tr w14:paraId="5F2E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7F77F0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机器学习</w:t>
            </w:r>
          </w:p>
        </w:tc>
        <w:tc>
          <w:tcPr>
            <w:tcW w:w="1098" w:type="pct"/>
            <w:shd w:val="clear" w:color="auto" w:fill="auto"/>
            <w:vAlign w:val="center"/>
          </w:tcPr>
          <w:p w14:paraId="374CF88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102689</w:t>
            </w:r>
          </w:p>
        </w:tc>
        <w:tc>
          <w:tcPr>
            <w:tcW w:w="485" w:type="pct"/>
            <w:shd w:val="clear" w:color="auto" w:fill="auto"/>
            <w:vAlign w:val="center"/>
          </w:tcPr>
          <w:p w14:paraId="1EE622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7DCF772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65" w:type="pct"/>
            <w:vMerge w:val="restart"/>
            <w:shd w:val="clear" w:color="auto" w:fill="auto"/>
            <w:vAlign w:val="center"/>
          </w:tcPr>
          <w:p w14:paraId="1B1A68B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必修</w:t>
            </w:r>
          </w:p>
        </w:tc>
      </w:tr>
      <w:tr w14:paraId="623B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23B5826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国民经济核算</w:t>
            </w:r>
          </w:p>
        </w:tc>
        <w:tc>
          <w:tcPr>
            <w:tcW w:w="1098" w:type="pct"/>
            <w:shd w:val="clear" w:color="auto" w:fill="auto"/>
            <w:vAlign w:val="center"/>
          </w:tcPr>
          <w:p w14:paraId="0558907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100659</w:t>
            </w:r>
          </w:p>
        </w:tc>
        <w:tc>
          <w:tcPr>
            <w:tcW w:w="485" w:type="pct"/>
            <w:shd w:val="clear" w:color="auto" w:fill="auto"/>
            <w:vAlign w:val="center"/>
          </w:tcPr>
          <w:p w14:paraId="31AA35E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69E2227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65" w:type="pct"/>
            <w:vMerge w:val="continue"/>
            <w:shd w:val="clear" w:color="auto" w:fill="auto"/>
            <w:vAlign w:val="center"/>
          </w:tcPr>
          <w:p w14:paraId="23507F9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305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0FDBF0A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计量经济学</w:t>
            </w:r>
          </w:p>
        </w:tc>
        <w:tc>
          <w:tcPr>
            <w:tcW w:w="1098" w:type="pct"/>
            <w:shd w:val="clear" w:color="auto" w:fill="auto"/>
            <w:vAlign w:val="center"/>
          </w:tcPr>
          <w:p w14:paraId="03AB94E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105497</w:t>
            </w:r>
          </w:p>
        </w:tc>
        <w:tc>
          <w:tcPr>
            <w:tcW w:w="485" w:type="pct"/>
            <w:shd w:val="clear" w:color="auto" w:fill="auto"/>
            <w:vAlign w:val="center"/>
          </w:tcPr>
          <w:p w14:paraId="687B324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647" w:type="pct"/>
            <w:shd w:val="clear" w:color="auto" w:fill="auto"/>
            <w:vAlign w:val="center"/>
          </w:tcPr>
          <w:p w14:paraId="5944FD5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65" w:type="pct"/>
            <w:vMerge w:val="continue"/>
            <w:shd w:val="clear" w:color="auto" w:fill="auto"/>
            <w:vAlign w:val="center"/>
          </w:tcPr>
          <w:p w14:paraId="46B82F9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441D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370779B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金融风险管理</w:t>
            </w:r>
          </w:p>
        </w:tc>
        <w:tc>
          <w:tcPr>
            <w:tcW w:w="1098" w:type="pct"/>
            <w:shd w:val="clear" w:color="auto" w:fill="auto"/>
            <w:vAlign w:val="center"/>
          </w:tcPr>
          <w:p w14:paraId="34D5C61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105498</w:t>
            </w:r>
          </w:p>
        </w:tc>
        <w:tc>
          <w:tcPr>
            <w:tcW w:w="485" w:type="pct"/>
            <w:shd w:val="clear" w:color="auto" w:fill="auto"/>
            <w:vAlign w:val="center"/>
          </w:tcPr>
          <w:p w14:paraId="081D1AF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5F9FB7C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65" w:type="pct"/>
            <w:vMerge w:val="continue"/>
            <w:shd w:val="clear" w:color="auto" w:fill="auto"/>
            <w:vAlign w:val="center"/>
          </w:tcPr>
          <w:p w14:paraId="0D59ABB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D8F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45DC1EA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数值计算与模拟</w:t>
            </w:r>
          </w:p>
        </w:tc>
        <w:tc>
          <w:tcPr>
            <w:tcW w:w="1098" w:type="pct"/>
            <w:shd w:val="clear" w:color="auto" w:fill="auto"/>
            <w:vAlign w:val="center"/>
          </w:tcPr>
          <w:p w14:paraId="2890914F">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107479</w:t>
            </w:r>
          </w:p>
        </w:tc>
        <w:tc>
          <w:tcPr>
            <w:tcW w:w="485" w:type="pct"/>
            <w:shd w:val="clear" w:color="auto" w:fill="auto"/>
            <w:vAlign w:val="center"/>
          </w:tcPr>
          <w:p w14:paraId="4D2356B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5FC2B49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165" w:type="pct"/>
            <w:vMerge w:val="continue"/>
            <w:shd w:val="clear" w:color="auto" w:fill="auto"/>
            <w:vAlign w:val="center"/>
          </w:tcPr>
          <w:p w14:paraId="4B963C2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F3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5FE9A3C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多元统计分析</w:t>
            </w:r>
          </w:p>
        </w:tc>
        <w:tc>
          <w:tcPr>
            <w:tcW w:w="1098" w:type="pct"/>
            <w:shd w:val="clear" w:color="auto" w:fill="auto"/>
            <w:vAlign w:val="center"/>
          </w:tcPr>
          <w:p w14:paraId="213D1D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103322</w:t>
            </w:r>
          </w:p>
        </w:tc>
        <w:tc>
          <w:tcPr>
            <w:tcW w:w="485" w:type="pct"/>
            <w:shd w:val="clear" w:color="auto" w:fill="auto"/>
            <w:vAlign w:val="center"/>
          </w:tcPr>
          <w:p w14:paraId="4098FCA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4821F7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65" w:type="pct"/>
            <w:vMerge w:val="continue"/>
            <w:shd w:val="clear" w:color="auto" w:fill="auto"/>
          </w:tcPr>
          <w:p w14:paraId="5A29589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54D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529E02E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回归分析</w:t>
            </w:r>
          </w:p>
        </w:tc>
        <w:tc>
          <w:tcPr>
            <w:tcW w:w="1098" w:type="pct"/>
            <w:shd w:val="clear" w:color="auto" w:fill="auto"/>
            <w:vAlign w:val="center"/>
          </w:tcPr>
          <w:p w14:paraId="12E14E9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100923</w:t>
            </w:r>
          </w:p>
        </w:tc>
        <w:tc>
          <w:tcPr>
            <w:tcW w:w="485" w:type="pct"/>
            <w:shd w:val="clear" w:color="auto" w:fill="auto"/>
            <w:vAlign w:val="center"/>
          </w:tcPr>
          <w:p w14:paraId="6890394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647" w:type="pct"/>
            <w:shd w:val="clear" w:color="auto" w:fill="auto"/>
            <w:vAlign w:val="center"/>
          </w:tcPr>
          <w:p w14:paraId="7FF1B3B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65" w:type="pct"/>
            <w:vMerge w:val="continue"/>
            <w:shd w:val="clear" w:color="auto" w:fill="auto"/>
          </w:tcPr>
          <w:p w14:paraId="7687DD9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C3C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2" w:type="pct"/>
            <w:shd w:val="clear" w:color="auto" w:fill="auto"/>
            <w:vAlign w:val="center"/>
          </w:tcPr>
          <w:p w14:paraId="0E02115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时间序列分析</w:t>
            </w:r>
          </w:p>
        </w:tc>
        <w:tc>
          <w:tcPr>
            <w:tcW w:w="1098" w:type="pct"/>
            <w:shd w:val="clear" w:color="auto" w:fill="auto"/>
            <w:vAlign w:val="center"/>
          </w:tcPr>
          <w:p w14:paraId="00608FC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103235</w:t>
            </w:r>
          </w:p>
        </w:tc>
        <w:tc>
          <w:tcPr>
            <w:tcW w:w="485" w:type="pct"/>
            <w:shd w:val="clear" w:color="auto" w:fill="auto"/>
            <w:vAlign w:val="center"/>
          </w:tcPr>
          <w:p w14:paraId="13777B5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647" w:type="pct"/>
            <w:shd w:val="clear" w:color="auto" w:fill="auto"/>
            <w:vAlign w:val="center"/>
          </w:tcPr>
          <w:p w14:paraId="69C4649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65" w:type="pct"/>
            <w:vMerge w:val="continue"/>
            <w:shd w:val="clear" w:color="auto" w:fill="auto"/>
            <w:vAlign w:val="center"/>
          </w:tcPr>
          <w:p w14:paraId="2E54F4B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bl>
    <w:p w14:paraId="5B06A2B3">
      <w:pPr>
        <w:pageBreakBefore w:val="0"/>
        <w:kinsoku/>
        <w:wordWrap/>
        <w:overflowPunct/>
        <w:topLinePunct w:val="0"/>
        <w:autoSpaceDE/>
        <w:autoSpaceDN/>
        <w:bidi w:val="0"/>
        <w:adjustRightInd/>
        <w:snapToGrid/>
        <w:outlineLvl w:val="9"/>
        <w:rPr>
          <w:b/>
          <w:bCs/>
          <w:color w:val="auto"/>
          <w:szCs w:val="21"/>
        </w:rPr>
      </w:pPr>
    </w:p>
    <w:p w14:paraId="109B5F53">
      <w:pPr>
        <w:pageBreakBefore w:val="0"/>
        <w:kinsoku/>
        <w:wordWrap/>
        <w:overflowPunct/>
        <w:topLinePunct w:val="0"/>
        <w:autoSpaceDE/>
        <w:autoSpaceDN/>
        <w:bidi w:val="0"/>
        <w:adjustRightInd/>
        <w:snapToGrid/>
        <w:ind w:firstLine="420" w:firstLineChars="200"/>
        <w:outlineLvl w:val="9"/>
        <w:rPr>
          <w:b/>
          <w:bCs/>
          <w:color w:val="auto"/>
          <w:szCs w:val="21"/>
        </w:rPr>
      </w:pPr>
      <w:r>
        <w:rPr>
          <w:rFonts w:hint="eastAsia"/>
          <w:b/>
          <w:bCs/>
          <w:color w:val="auto"/>
          <w:szCs w:val="21"/>
        </w:rPr>
        <w:t>（三）个性化培养模块</w:t>
      </w:r>
    </w:p>
    <w:p w14:paraId="33A4A162">
      <w:pPr>
        <w:pageBreakBefore w:val="0"/>
        <w:kinsoku/>
        <w:wordWrap/>
        <w:overflowPunct/>
        <w:topLinePunct w:val="0"/>
        <w:autoSpaceDE/>
        <w:autoSpaceDN/>
        <w:bidi w:val="0"/>
        <w:adjustRightInd/>
        <w:snapToGrid/>
        <w:ind w:firstLine="420" w:firstLineChars="200"/>
        <w:outlineLvl w:val="9"/>
        <w:rPr>
          <w:rFonts w:hint="eastAsia" w:ascii="宋体" w:hAnsi="宋体" w:eastAsia="宋体" w:cs="Segoe UI"/>
          <w:color w:val="auto"/>
          <w:kern w:val="0"/>
          <w:szCs w:val="21"/>
          <w:highlight w:val="red"/>
        </w:rPr>
      </w:pPr>
      <w:r>
        <w:rPr>
          <w:color w:val="auto"/>
          <w:szCs w:val="21"/>
        </w:rPr>
        <w:t>包括</w:t>
      </w:r>
      <w:r>
        <w:rPr>
          <w:rFonts w:hint="eastAsia"/>
          <w:color w:val="auto"/>
          <w:szCs w:val="21"/>
        </w:rPr>
        <w:t>卓越（复合）型、创业型2种</w:t>
      </w:r>
      <w:r>
        <w:rPr>
          <w:color w:val="auto"/>
          <w:szCs w:val="21"/>
        </w:rPr>
        <w:t>不同路径</w:t>
      </w:r>
      <w:r>
        <w:rPr>
          <w:rFonts w:hint="eastAsia"/>
          <w:color w:val="auto"/>
          <w:szCs w:val="21"/>
        </w:rPr>
        <w:t>。</w:t>
      </w:r>
    </w:p>
    <w:tbl>
      <w:tblPr>
        <w:tblStyle w:val="17"/>
        <w:tblW w:w="4998" w:type="pct"/>
        <w:jc w:val="center"/>
        <w:tblLayout w:type="autofit"/>
        <w:tblCellMar>
          <w:top w:w="0" w:type="dxa"/>
          <w:left w:w="108" w:type="dxa"/>
          <w:bottom w:w="0" w:type="dxa"/>
          <w:right w:w="108" w:type="dxa"/>
        </w:tblCellMar>
      </w:tblPr>
      <w:tblGrid>
        <w:gridCol w:w="1771"/>
        <w:gridCol w:w="1779"/>
        <w:gridCol w:w="985"/>
        <w:gridCol w:w="3984"/>
      </w:tblGrid>
      <w:tr w14:paraId="75703B4E">
        <w:tblPrEx>
          <w:tblCellMar>
            <w:top w:w="0" w:type="dxa"/>
            <w:left w:w="108" w:type="dxa"/>
            <w:bottom w:w="0" w:type="dxa"/>
            <w:right w:w="108" w:type="dxa"/>
          </w:tblCellMar>
        </w:tblPrEx>
        <w:trPr>
          <w:trHeight w:val="469" w:hRule="atLeast"/>
          <w:jc w:val="center"/>
        </w:trPr>
        <w:tc>
          <w:tcPr>
            <w:tcW w:w="2083" w:type="pct"/>
            <w:gridSpan w:val="2"/>
            <w:tcBorders>
              <w:top w:val="single" w:color="000000" w:sz="8" w:space="0"/>
              <w:left w:val="single" w:color="000000" w:sz="8" w:space="0"/>
              <w:bottom w:val="single" w:color="000000" w:sz="8" w:space="0"/>
              <w:right w:val="single" w:color="000000" w:sz="8" w:space="0"/>
            </w:tcBorders>
            <w:shd w:val="clear" w:color="auto" w:fill="E7E6E6"/>
            <w:vAlign w:val="center"/>
          </w:tcPr>
          <w:p w14:paraId="4DD0093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课程模块名称</w:t>
            </w:r>
          </w:p>
        </w:tc>
        <w:tc>
          <w:tcPr>
            <w:tcW w:w="578" w:type="pct"/>
            <w:tcBorders>
              <w:top w:val="single" w:color="000000" w:sz="8" w:space="0"/>
              <w:left w:val="nil"/>
              <w:bottom w:val="single" w:color="000000" w:sz="8" w:space="0"/>
              <w:right w:val="single" w:color="000000" w:sz="8" w:space="0"/>
            </w:tcBorders>
            <w:shd w:val="clear" w:color="auto" w:fill="E7E6E6"/>
            <w:vAlign w:val="center"/>
          </w:tcPr>
          <w:p w14:paraId="40FE49F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学分要求</w:t>
            </w:r>
          </w:p>
        </w:tc>
        <w:tc>
          <w:tcPr>
            <w:tcW w:w="2338" w:type="pct"/>
            <w:tcBorders>
              <w:top w:val="single" w:color="000000" w:sz="8" w:space="0"/>
              <w:left w:val="nil"/>
              <w:bottom w:val="single" w:color="000000" w:sz="8" w:space="0"/>
              <w:right w:val="single" w:color="000000" w:sz="8" w:space="0"/>
            </w:tcBorders>
            <w:shd w:val="clear" w:color="auto" w:fill="E7E6E6"/>
            <w:vAlign w:val="center"/>
          </w:tcPr>
          <w:p w14:paraId="7667568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模块说明</w:t>
            </w:r>
          </w:p>
        </w:tc>
      </w:tr>
      <w:tr w14:paraId="4D37F179">
        <w:tblPrEx>
          <w:tblCellMar>
            <w:top w:w="0" w:type="dxa"/>
            <w:left w:w="108" w:type="dxa"/>
            <w:bottom w:w="0" w:type="dxa"/>
            <w:right w:w="108" w:type="dxa"/>
          </w:tblCellMar>
        </w:tblPrEx>
        <w:trPr>
          <w:trHeight w:val="384" w:hRule="atLeast"/>
          <w:jc w:val="center"/>
        </w:trPr>
        <w:tc>
          <w:tcPr>
            <w:tcW w:w="1039" w:type="pct"/>
            <w:vMerge w:val="restart"/>
            <w:tcBorders>
              <w:top w:val="single" w:color="000000" w:sz="8" w:space="0"/>
              <w:left w:val="single" w:color="000000" w:sz="8" w:space="0"/>
              <w:right w:val="single" w:color="000000" w:sz="8" w:space="0"/>
            </w:tcBorders>
            <w:shd w:val="clear" w:color="auto" w:fill="auto"/>
            <w:vAlign w:val="center"/>
          </w:tcPr>
          <w:p w14:paraId="6DA028AD">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卓越型培养模块</w:t>
            </w: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45731A">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专业方向模块</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675D88D4">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highlight w:val="red"/>
              </w:rPr>
            </w:pPr>
            <w:r>
              <w:rPr>
                <w:rFonts w:hint="eastAsia" w:ascii="黑体" w:hAnsi="黑体" w:eastAsia="黑体" w:cs="黑体"/>
                <w:color w:val="auto"/>
                <w:szCs w:val="21"/>
              </w:rPr>
              <w:t>14</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0A572BCC">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根据学生所在方向选择修读</w:t>
            </w:r>
          </w:p>
        </w:tc>
      </w:tr>
      <w:tr w14:paraId="6CE819AB">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right w:val="single" w:color="000000" w:sz="8" w:space="0"/>
            </w:tcBorders>
            <w:shd w:val="clear" w:color="auto" w:fill="auto"/>
            <w:vAlign w:val="center"/>
          </w:tcPr>
          <w:p w14:paraId="763789EB">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B2E9D7">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跨学科选修</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29C1C57B">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highlight w:val="red"/>
              </w:rPr>
            </w:pPr>
            <w:r>
              <w:rPr>
                <w:rFonts w:hint="eastAsia" w:ascii="黑体" w:hAnsi="黑体" w:eastAsia="黑体" w:cs="黑体"/>
                <w:color w:val="auto"/>
                <w:szCs w:val="21"/>
              </w:rPr>
              <w:t>6</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09C1DA80">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r>
      <w:tr w14:paraId="31C288D2">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right w:val="single" w:color="000000" w:sz="8" w:space="0"/>
            </w:tcBorders>
            <w:shd w:val="clear" w:color="auto" w:fill="auto"/>
            <w:vAlign w:val="center"/>
          </w:tcPr>
          <w:p w14:paraId="1F2DA5AA">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5393E01">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双创训练</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700C7EA2">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2</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2A62F7A0">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归口为第二课堂学分</w:t>
            </w:r>
          </w:p>
        </w:tc>
      </w:tr>
      <w:tr w14:paraId="01984559">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bottom w:val="single" w:color="000000" w:sz="8" w:space="0"/>
              <w:right w:val="single" w:color="000000" w:sz="8" w:space="0"/>
            </w:tcBorders>
            <w:shd w:val="clear" w:color="auto" w:fill="auto"/>
            <w:vAlign w:val="center"/>
          </w:tcPr>
          <w:p w14:paraId="0F07B603">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5DE3CC6">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总计</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29CE4DCD">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22</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6A8B6B17">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r>
      <w:tr w14:paraId="603498D6">
        <w:tblPrEx>
          <w:tblCellMar>
            <w:top w:w="0" w:type="dxa"/>
            <w:left w:w="108" w:type="dxa"/>
            <w:bottom w:w="0" w:type="dxa"/>
            <w:right w:w="108" w:type="dxa"/>
          </w:tblCellMar>
        </w:tblPrEx>
        <w:trPr>
          <w:trHeight w:val="696" w:hRule="atLeast"/>
          <w:jc w:val="center"/>
        </w:trPr>
        <w:tc>
          <w:tcPr>
            <w:tcW w:w="1039" w:type="pct"/>
            <w:vMerge w:val="restart"/>
            <w:tcBorders>
              <w:top w:val="single" w:color="000000" w:sz="8" w:space="0"/>
              <w:left w:val="single" w:color="000000" w:sz="8" w:space="0"/>
              <w:right w:val="single" w:color="000000" w:sz="8" w:space="0"/>
            </w:tcBorders>
            <w:shd w:val="clear" w:color="auto" w:fill="auto"/>
            <w:vAlign w:val="center"/>
          </w:tcPr>
          <w:p w14:paraId="49A921B3">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创业型培养模块</w:t>
            </w: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7EBCF9">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创业课程群模块</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312485CF">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11</w:t>
            </w:r>
          </w:p>
        </w:tc>
        <w:tc>
          <w:tcPr>
            <w:tcW w:w="2338" w:type="pct"/>
            <w:vMerge w:val="restart"/>
            <w:tcBorders>
              <w:top w:val="single" w:color="000000" w:sz="8" w:space="0"/>
              <w:left w:val="nil"/>
              <w:right w:val="single" w:color="000000" w:sz="8" w:space="0"/>
            </w:tcBorders>
            <w:shd w:val="clear" w:color="auto" w:fill="auto"/>
            <w:vAlign w:val="center"/>
          </w:tcPr>
          <w:p w14:paraId="4074E9A8">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详见创业型培养方案</w:t>
            </w:r>
          </w:p>
        </w:tc>
      </w:tr>
      <w:tr w14:paraId="196E2D93">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right w:val="single" w:color="000000" w:sz="8" w:space="0"/>
            </w:tcBorders>
            <w:shd w:val="clear" w:color="auto" w:fill="auto"/>
            <w:vAlign w:val="center"/>
          </w:tcPr>
          <w:p w14:paraId="5CD83C88">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E9711BC">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创业实践</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34903B74">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2</w:t>
            </w:r>
          </w:p>
        </w:tc>
        <w:tc>
          <w:tcPr>
            <w:tcW w:w="2338" w:type="pct"/>
            <w:vMerge w:val="continue"/>
            <w:tcBorders>
              <w:left w:val="nil"/>
              <w:bottom w:val="single" w:color="000000" w:sz="8" w:space="0"/>
              <w:right w:val="single" w:color="000000" w:sz="8" w:space="0"/>
            </w:tcBorders>
            <w:shd w:val="clear" w:color="auto" w:fill="auto"/>
            <w:vAlign w:val="center"/>
          </w:tcPr>
          <w:p w14:paraId="377833F6">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r>
      <w:tr w14:paraId="527289D8">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right w:val="single" w:color="000000" w:sz="8" w:space="0"/>
            </w:tcBorders>
            <w:shd w:val="clear" w:color="auto" w:fill="auto"/>
            <w:vAlign w:val="center"/>
          </w:tcPr>
          <w:p w14:paraId="32D725A3">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CBB1C4">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专业方向模块</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5B6F4D9F">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5</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5801A70D">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根据学生所在方向选择修读</w:t>
            </w:r>
          </w:p>
        </w:tc>
      </w:tr>
      <w:tr w14:paraId="167A2A7E">
        <w:tblPrEx>
          <w:tblCellMar>
            <w:top w:w="0" w:type="dxa"/>
            <w:left w:w="108" w:type="dxa"/>
            <w:bottom w:w="0" w:type="dxa"/>
            <w:right w:w="108" w:type="dxa"/>
          </w:tblCellMar>
        </w:tblPrEx>
        <w:trPr>
          <w:trHeight w:val="384" w:hRule="atLeast"/>
          <w:jc w:val="center"/>
        </w:trPr>
        <w:tc>
          <w:tcPr>
            <w:tcW w:w="1039" w:type="pct"/>
            <w:vMerge w:val="continue"/>
            <w:tcBorders>
              <w:left w:val="single" w:color="000000" w:sz="8" w:space="0"/>
              <w:right w:val="single" w:color="000000" w:sz="8" w:space="0"/>
            </w:tcBorders>
            <w:shd w:val="clear" w:color="auto" w:fill="auto"/>
            <w:vAlign w:val="center"/>
          </w:tcPr>
          <w:p w14:paraId="0F1F016F">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86AA42">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跨学科选修</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503E82E3">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4</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0930214D">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r>
      <w:tr w14:paraId="1F84DA66">
        <w:tblPrEx>
          <w:tblCellMar>
            <w:top w:w="0" w:type="dxa"/>
            <w:left w:w="108" w:type="dxa"/>
            <w:bottom w:w="0" w:type="dxa"/>
            <w:right w:w="108" w:type="dxa"/>
          </w:tblCellMar>
        </w:tblPrEx>
        <w:trPr>
          <w:trHeight w:val="432" w:hRule="atLeast"/>
          <w:jc w:val="center"/>
        </w:trPr>
        <w:tc>
          <w:tcPr>
            <w:tcW w:w="1039" w:type="pct"/>
            <w:vMerge w:val="continue"/>
            <w:tcBorders>
              <w:left w:val="single" w:color="000000" w:sz="8" w:space="0"/>
              <w:bottom w:val="single" w:color="000000" w:sz="8" w:space="0"/>
              <w:right w:val="single" w:color="000000" w:sz="8" w:space="0"/>
            </w:tcBorders>
            <w:shd w:val="clear" w:color="auto" w:fill="auto"/>
            <w:vAlign w:val="center"/>
          </w:tcPr>
          <w:p w14:paraId="67BCDAFE">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c>
          <w:tcPr>
            <w:tcW w:w="1044"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32A3D74">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总计</w:t>
            </w:r>
          </w:p>
        </w:tc>
        <w:tc>
          <w:tcPr>
            <w:tcW w:w="578" w:type="pct"/>
            <w:tcBorders>
              <w:top w:val="single" w:color="000000" w:sz="8" w:space="0"/>
              <w:left w:val="nil"/>
              <w:bottom w:val="single" w:color="000000" w:sz="8" w:space="0"/>
              <w:right w:val="single" w:color="000000" w:sz="8" w:space="0"/>
            </w:tcBorders>
            <w:shd w:val="clear" w:color="auto" w:fill="auto"/>
            <w:vAlign w:val="center"/>
          </w:tcPr>
          <w:p w14:paraId="16847CA9">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r>
              <w:rPr>
                <w:rFonts w:hint="eastAsia" w:ascii="黑体" w:hAnsi="黑体" w:eastAsia="黑体" w:cs="黑体"/>
                <w:color w:val="auto"/>
                <w:szCs w:val="21"/>
              </w:rPr>
              <w:t>22</w:t>
            </w:r>
          </w:p>
        </w:tc>
        <w:tc>
          <w:tcPr>
            <w:tcW w:w="2338" w:type="pct"/>
            <w:tcBorders>
              <w:top w:val="single" w:color="000000" w:sz="8" w:space="0"/>
              <w:left w:val="nil"/>
              <w:bottom w:val="single" w:color="000000" w:sz="8" w:space="0"/>
              <w:right w:val="single" w:color="000000" w:sz="8" w:space="0"/>
            </w:tcBorders>
            <w:shd w:val="clear" w:color="auto" w:fill="auto"/>
            <w:vAlign w:val="center"/>
          </w:tcPr>
          <w:p w14:paraId="73AF19FC">
            <w:pPr>
              <w:pageBreakBefore w:val="0"/>
              <w:kinsoku/>
              <w:wordWrap/>
              <w:overflowPunct/>
              <w:topLinePunct w:val="0"/>
              <w:autoSpaceDE/>
              <w:autoSpaceDN/>
              <w:bidi w:val="0"/>
              <w:adjustRightInd/>
              <w:snapToGrid/>
              <w:jc w:val="center"/>
              <w:outlineLvl w:val="9"/>
              <w:rPr>
                <w:rFonts w:hint="eastAsia" w:ascii="黑体" w:hAnsi="黑体" w:eastAsia="黑体" w:cs="黑体"/>
                <w:color w:val="auto"/>
                <w:szCs w:val="21"/>
              </w:rPr>
            </w:pPr>
          </w:p>
        </w:tc>
      </w:tr>
    </w:tbl>
    <w:p w14:paraId="46BB4CA7">
      <w:pPr>
        <w:pageBreakBefore w:val="0"/>
        <w:kinsoku/>
        <w:wordWrap/>
        <w:overflowPunct/>
        <w:topLinePunct w:val="0"/>
        <w:autoSpaceDE/>
        <w:autoSpaceDN/>
        <w:bidi w:val="0"/>
        <w:adjustRightInd/>
        <w:snapToGrid/>
        <w:ind w:firstLine="422" w:firstLineChars="200"/>
        <w:outlineLvl w:val="9"/>
        <w:rPr>
          <w:rFonts w:hint="eastAsia" w:ascii="宋体" w:hAnsi="宋体" w:eastAsia="宋体" w:cs="宋体"/>
          <w:b/>
          <w:bCs/>
          <w:color w:val="auto"/>
          <w:szCs w:val="21"/>
        </w:rPr>
      </w:pPr>
    </w:p>
    <w:p w14:paraId="1A787517">
      <w:pPr>
        <w:pageBreakBefore w:val="0"/>
        <w:kinsoku/>
        <w:wordWrap/>
        <w:overflowPunct/>
        <w:topLinePunct w:val="0"/>
        <w:autoSpaceDE/>
        <w:autoSpaceDN/>
        <w:bidi w:val="0"/>
        <w:adjustRightInd/>
        <w:snapToGrid/>
        <w:ind w:firstLine="422" w:firstLineChars="200"/>
        <w:outlineLvl w:val="9"/>
        <w:rPr>
          <w:color w:val="auto"/>
          <w:szCs w:val="21"/>
        </w:rPr>
      </w:pPr>
      <w:r>
        <w:rPr>
          <w:rFonts w:hint="eastAsia" w:ascii="宋体" w:hAnsi="宋体" w:eastAsia="宋体" w:cs="宋体"/>
          <w:b/>
          <w:bCs/>
          <w:color w:val="auto"/>
          <w:szCs w:val="21"/>
        </w:rPr>
        <w:t>个性化培养模块具体设置如下：</w:t>
      </w:r>
    </w:p>
    <w:p w14:paraId="1A30C5B4">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1.</w:t>
      </w:r>
      <w:r>
        <w:rPr>
          <w:rFonts w:hint="eastAsia"/>
          <w:b/>
          <w:bCs/>
          <w:color w:val="auto"/>
          <w:szCs w:val="21"/>
        </w:rPr>
        <w:t>卓越型培养模块</w:t>
      </w:r>
    </w:p>
    <w:p w14:paraId="5C1D55C4">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（1）专业方向模块（金融统计与风险管理方向，14学分）</w:t>
      </w:r>
    </w:p>
    <w:p w14:paraId="6C703610">
      <w:pPr>
        <w:pageBreakBefore w:val="0"/>
        <w:kinsoku/>
        <w:wordWrap/>
        <w:overflowPunct/>
        <w:topLinePunct w:val="0"/>
        <w:autoSpaceDE/>
        <w:autoSpaceDN/>
        <w:bidi w:val="0"/>
        <w:adjustRightInd/>
        <w:snapToGrid/>
        <w:ind w:firstLine="420" w:firstLineChars="200"/>
        <w:outlineLvl w:val="9"/>
        <w:rPr>
          <w:color w:val="auto"/>
          <w:szCs w:val="21"/>
        </w:rPr>
      </w:pPr>
      <w:r>
        <w:rPr>
          <w:color w:val="auto"/>
          <w:szCs w:val="21"/>
        </w:rPr>
        <w:t>课程</w:t>
      </w:r>
      <w:r>
        <w:rPr>
          <w:rFonts w:hint="eastAsia"/>
          <w:color w:val="auto"/>
          <w:szCs w:val="21"/>
        </w:rPr>
        <w:t>清单如下：</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1"/>
        <w:gridCol w:w="1868"/>
        <w:gridCol w:w="675"/>
        <w:gridCol w:w="1324"/>
        <w:gridCol w:w="1951"/>
      </w:tblGrid>
      <w:tr w14:paraId="5083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vAlign w:val="center"/>
          </w:tcPr>
          <w:p w14:paraId="27D6F94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课程名称</w:t>
            </w:r>
          </w:p>
        </w:tc>
        <w:tc>
          <w:tcPr>
            <w:tcW w:w="1096" w:type="pct"/>
            <w:vAlign w:val="center"/>
          </w:tcPr>
          <w:p w14:paraId="7D26D19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课程代码</w:t>
            </w:r>
          </w:p>
        </w:tc>
        <w:tc>
          <w:tcPr>
            <w:tcW w:w="396" w:type="pct"/>
            <w:vAlign w:val="center"/>
          </w:tcPr>
          <w:p w14:paraId="554481A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学分</w:t>
            </w:r>
          </w:p>
        </w:tc>
        <w:tc>
          <w:tcPr>
            <w:tcW w:w="777" w:type="pct"/>
            <w:vAlign w:val="center"/>
          </w:tcPr>
          <w:p w14:paraId="402EA2D5">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开课学期</w:t>
            </w:r>
          </w:p>
        </w:tc>
        <w:tc>
          <w:tcPr>
            <w:tcW w:w="1144" w:type="pct"/>
            <w:vAlign w:val="center"/>
          </w:tcPr>
          <w:p w14:paraId="5829A3F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备注</w:t>
            </w:r>
          </w:p>
        </w:tc>
      </w:tr>
      <w:tr w14:paraId="1FE3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4F2AF6F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优化理论与方法  </w:t>
            </w:r>
          </w:p>
        </w:tc>
        <w:tc>
          <w:tcPr>
            <w:tcW w:w="1096" w:type="pct"/>
            <w:shd w:val="clear" w:color="auto" w:fill="auto"/>
            <w:vAlign w:val="center"/>
          </w:tcPr>
          <w:p w14:paraId="3E50D47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val="en-US" w:eastAsia="zh-CN" w:bidi="ar"/>
              </w:rPr>
              <w:t>107476</w:t>
            </w:r>
          </w:p>
        </w:tc>
        <w:tc>
          <w:tcPr>
            <w:tcW w:w="396" w:type="pct"/>
            <w:shd w:val="clear" w:color="auto" w:fill="auto"/>
            <w:vAlign w:val="center"/>
          </w:tcPr>
          <w:p w14:paraId="3DF3D3A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4E0BF2F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144" w:type="pct"/>
            <w:vMerge w:val="restart"/>
            <w:shd w:val="clear" w:color="auto" w:fill="auto"/>
            <w:vAlign w:val="center"/>
          </w:tcPr>
          <w:p w14:paraId="3B745E7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选修</w:t>
            </w:r>
          </w:p>
          <w:p w14:paraId="7A58132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 w:val="15"/>
                <w:szCs w:val="15"/>
              </w:rPr>
              <w:t>（该专业方向必须修读）</w:t>
            </w:r>
          </w:p>
        </w:tc>
      </w:tr>
      <w:tr w14:paraId="7CEC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7D79A51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数量金融</w:t>
            </w:r>
          </w:p>
        </w:tc>
        <w:tc>
          <w:tcPr>
            <w:tcW w:w="1096" w:type="pct"/>
            <w:shd w:val="clear" w:color="auto" w:fill="auto"/>
            <w:vAlign w:val="center"/>
          </w:tcPr>
          <w:p w14:paraId="3EC067E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102039</w:t>
            </w:r>
          </w:p>
        </w:tc>
        <w:tc>
          <w:tcPr>
            <w:tcW w:w="396" w:type="pct"/>
            <w:shd w:val="clear" w:color="auto" w:fill="auto"/>
            <w:vAlign w:val="center"/>
          </w:tcPr>
          <w:p w14:paraId="766015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5F206CF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tcPr>
          <w:p w14:paraId="7A0069EF">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DD1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29C6DAF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随机过程</w:t>
            </w:r>
          </w:p>
        </w:tc>
        <w:tc>
          <w:tcPr>
            <w:tcW w:w="1096" w:type="pct"/>
            <w:shd w:val="clear" w:color="auto" w:fill="auto"/>
            <w:vAlign w:val="center"/>
          </w:tcPr>
          <w:p w14:paraId="4CCA2FF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105509</w:t>
            </w:r>
          </w:p>
        </w:tc>
        <w:tc>
          <w:tcPr>
            <w:tcW w:w="396" w:type="pct"/>
            <w:shd w:val="clear" w:color="auto" w:fill="auto"/>
            <w:vAlign w:val="center"/>
          </w:tcPr>
          <w:p w14:paraId="039FA7A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1EEE46C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continue"/>
            <w:shd w:val="clear" w:color="auto" w:fill="auto"/>
          </w:tcPr>
          <w:p w14:paraId="361DBC6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49DE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5408B65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金融统计学</w:t>
            </w:r>
          </w:p>
        </w:tc>
        <w:tc>
          <w:tcPr>
            <w:tcW w:w="1096" w:type="pct"/>
            <w:shd w:val="clear" w:color="auto" w:fill="auto"/>
            <w:vAlign w:val="center"/>
          </w:tcPr>
          <w:p w14:paraId="6D48609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100490</w:t>
            </w:r>
          </w:p>
        </w:tc>
        <w:tc>
          <w:tcPr>
            <w:tcW w:w="396" w:type="pct"/>
            <w:shd w:val="clear" w:color="auto" w:fill="auto"/>
            <w:vAlign w:val="center"/>
          </w:tcPr>
          <w:p w14:paraId="0CAEDFD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2BCE2A8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restart"/>
            <w:shd w:val="clear" w:color="auto" w:fill="auto"/>
            <w:vAlign w:val="center"/>
          </w:tcPr>
          <w:p w14:paraId="05887D8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294C48D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7A116331">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615EEAB1">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197B8F6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25EEAE9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0BC537B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77CCF675">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54BC05BE">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336FFE65">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p w14:paraId="1F42345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选修</w:t>
            </w:r>
          </w:p>
        </w:tc>
      </w:tr>
      <w:tr w14:paraId="0B9D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2E0EEB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数据科学导论</w:t>
            </w:r>
          </w:p>
        </w:tc>
        <w:tc>
          <w:tcPr>
            <w:tcW w:w="1096" w:type="pct"/>
            <w:shd w:val="clear" w:color="auto" w:fill="auto"/>
            <w:vAlign w:val="center"/>
          </w:tcPr>
          <w:p w14:paraId="0A33108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103275</w:t>
            </w:r>
          </w:p>
        </w:tc>
        <w:tc>
          <w:tcPr>
            <w:tcW w:w="396" w:type="pct"/>
            <w:shd w:val="clear" w:color="auto" w:fill="auto"/>
            <w:vAlign w:val="center"/>
          </w:tcPr>
          <w:p w14:paraId="640E561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1509F7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continue"/>
            <w:shd w:val="clear" w:color="auto" w:fill="auto"/>
            <w:vAlign w:val="center"/>
          </w:tcPr>
          <w:p w14:paraId="3A63396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688D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3E1A844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商务统计建模与决策</w:t>
            </w:r>
          </w:p>
        </w:tc>
        <w:tc>
          <w:tcPr>
            <w:tcW w:w="1096" w:type="pct"/>
            <w:shd w:val="clear" w:color="auto" w:fill="auto"/>
            <w:vAlign w:val="center"/>
          </w:tcPr>
          <w:p w14:paraId="1A51472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101849</w:t>
            </w:r>
          </w:p>
        </w:tc>
        <w:tc>
          <w:tcPr>
            <w:tcW w:w="396" w:type="pct"/>
            <w:shd w:val="clear" w:color="auto" w:fill="auto"/>
            <w:vAlign w:val="center"/>
          </w:tcPr>
          <w:p w14:paraId="3B234ED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5494D71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6D0B60C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8A3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DD2F00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分布式计算</w:t>
            </w:r>
          </w:p>
        </w:tc>
        <w:tc>
          <w:tcPr>
            <w:tcW w:w="1096" w:type="pct"/>
            <w:shd w:val="clear" w:color="auto" w:fill="auto"/>
            <w:vAlign w:val="center"/>
          </w:tcPr>
          <w:p w14:paraId="704F297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103278</w:t>
            </w:r>
          </w:p>
        </w:tc>
        <w:tc>
          <w:tcPr>
            <w:tcW w:w="396" w:type="pct"/>
            <w:shd w:val="clear" w:color="auto" w:fill="auto"/>
            <w:vAlign w:val="center"/>
          </w:tcPr>
          <w:p w14:paraId="27F77E4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5CB4F40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2501FF1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C05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5" w:type="pct"/>
            <w:shd w:val="clear" w:color="auto" w:fill="auto"/>
            <w:vAlign w:val="center"/>
          </w:tcPr>
          <w:p w14:paraId="24C89B1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非参数统计</w:t>
            </w:r>
          </w:p>
        </w:tc>
        <w:tc>
          <w:tcPr>
            <w:tcW w:w="1096" w:type="pct"/>
            <w:shd w:val="clear" w:color="auto" w:fill="auto"/>
            <w:vAlign w:val="center"/>
          </w:tcPr>
          <w:p w14:paraId="3EF2169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103294</w:t>
            </w:r>
          </w:p>
        </w:tc>
        <w:tc>
          <w:tcPr>
            <w:tcW w:w="396" w:type="pct"/>
            <w:shd w:val="clear" w:color="auto" w:fill="auto"/>
            <w:vAlign w:val="center"/>
          </w:tcPr>
          <w:p w14:paraId="6858C3B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305A2EA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0EBCCCAF">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EAC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68DFC1E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金融建模</w:t>
            </w:r>
          </w:p>
        </w:tc>
        <w:tc>
          <w:tcPr>
            <w:tcW w:w="1096" w:type="pct"/>
            <w:shd w:val="clear" w:color="auto" w:fill="auto"/>
            <w:vAlign w:val="center"/>
          </w:tcPr>
          <w:p w14:paraId="6B1E3E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105500</w:t>
            </w:r>
          </w:p>
        </w:tc>
        <w:tc>
          <w:tcPr>
            <w:tcW w:w="396" w:type="pct"/>
            <w:shd w:val="clear" w:color="auto" w:fill="auto"/>
            <w:vAlign w:val="center"/>
          </w:tcPr>
          <w:p w14:paraId="0259BC9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47A5B8D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3BB1CA5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4EB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585" w:type="pct"/>
            <w:shd w:val="clear" w:color="auto" w:fill="auto"/>
            <w:vAlign w:val="center"/>
          </w:tcPr>
          <w:p w14:paraId="3B3D34B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深度学习</w:t>
            </w:r>
          </w:p>
        </w:tc>
        <w:tc>
          <w:tcPr>
            <w:tcW w:w="1096" w:type="pct"/>
            <w:shd w:val="clear" w:color="auto" w:fill="auto"/>
            <w:vAlign w:val="center"/>
          </w:tcPr>
          <w:p w14:paraId="361C290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105503</w:t>
            </w:r>
          </w:p>
        </w:tc>
        <w:tc>
          <w:tcPr>
            <w:tcW w:w="396" w:type="pct"/>
            <w:shd w:val="clear" w:color="auto" w:fill="auto"/>
            <w:vAlign w:val="center"/>
          </w:tcPr>
          <w:p w14:paraId="715F7FA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77B1491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674ECBC1">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B4B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6B77C96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函数型数据分析方法、理论及其应用</w:t>
            </w:r>
          </w:p>
        </w:tc>
        <w:tc>
          <w:tcPr>
            <w:tcW w:w="1096" w:type="pct"/>
            <w:shd w:val="clear" w:color="auto" w:fill="auto"/>
            <w:vAlign w:val="center"/>
          </w:tcPr>
          <w:p w14:paraId="6D75718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106273</w:t>
            </w:r>
          </w:p>
        </w:tc>
        <w:tc>
          <w:tcPr>
            <w:tcW w:w="396" w:type="pct"/>
            <w:shd w:val="clear" w:color="auto" w:fill="auto"/>
            <w:vAlign w:val="center"/>
          </w:tcPr>
          <w:p w14:paraId="4D90C8B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467106B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791CA74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1B5A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6956156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因果推断</w:t>
            </w:r>
          </w:p>
        </w:tc>
        <w:tc>
          <w:tcPr>
            <w:tcW w:w="1096" w:type="pct"/>
            <w:shd w:val="clear" w:color="auto" w:fill="auto"/>
            <w:vAlign w:val="center"/>
          </w:tcPr>
          <w:p w14:paraId="267EFF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106274</w:t>
            </w:r>
          </w:p>
        </w:tc>
        <w:tc>
          <w:tcPr>
            <w:tcW w:w="396" w:type="pct"/>
            <w:shd w:val="clear" w:color="auto" w:fill="auto"/>
            <w:vAlign w:val="center"/>
          </w:tcPr>
          <w:p w14:paraId="71286C4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36CFF0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6256146E">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37D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2C485D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统计思想</w:t>
            </w:r>
          </w:p>
        </w:tc>
        <w:tc>
          <w:tcPr>
            <w:tcW w:w="1096" w:type="pct"/>
            <w:shd w:val="clear" w:color="auto" w:fill="auto"/>
            <w:vAlign w:val="center"/>
          </w:tcPr>
          <w:p w14:paraId="484FE56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100189</w:t>
            </w:r>
          </w:p>
        </w:tc>
        <w:tc>
          <w:tcPr>
            <w:tcW w:w="396" w:type="pct"/>
            <w:shd w:val="clear" w:color="auto" w:fill="auto"/>
            <w:vAlign w:val="center"/>
          </w:tcPr>
          <w:p w14:paraId="3C202E6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39A2218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1BED23A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738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21F9796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统计预测与决策</w:t>
            </w:r>
          </w:p>
        </w:tc>
        <w:tc>
          <w:tcPr>
            <w:tcW w:w="1096" w:type="pct"/>
            <w:shd w:val="clear" w:color="auto" w:fill="auto"/>
            <w:vAlign w:val="center"/>
          </w:tcPr>
          <w:p w14:paraId="7AB3653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103256</w:t>
            </w:r>
          </w:p>
        </w:tc>
        <w:tc>
          <w:tcPr>
            <w:tcW w:w="396" w:type="pct"/>
            <w:shd w:val="clear" w:color="auto" w:fill="auto"/>
            <w:vAlign w:val="center"/>
          </w:tcPr>
          <w:p w14:paraId="4F3EF86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3DCC3FF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5FBFAC11">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4A79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403197D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统计写作</w:t>
            </w:r>
          </w:p>
        </w:tc>
        <w:tc>
          <w:tcPr>
            <w:tcW w:w="1096" w:type="pct"/>
            <w:shd w:val="clear" w:color="auto" w:fill="auto"/>
            <w:vAlign w:val="center"/>
          </w:tcPr>
          <w:p w14:paraId="499BBBB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103431</w:t>
            </w:r>
          </w:p>
        </w:tc>
        <w:tc>
          <w:tcPr>
            <w:tcW w:w="396" w:type="pct"/>
            <w:shd w:val="clear" w:color="auto" w:fill="auto"/>
            <w:vAlign w:val="center"/>
          </w:tcPr>
          <w:p w14:paraId="767E6CA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w:t>
            </w:r>
          </w:p>
        </w:tc>
        <w:tc>
          <w:tcPr>
            <w:tcW w:w="777" w:type="pct"/>
            <w:shd w:val="clear" w:color="auto" w:fill="auto"/>
            <w:vAlign w:val="center"/>
          </w:tcPr>
          <w:p w14:paraId="6B1AE31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01879C0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7A4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4311A89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生存分析</w:t>
            </w:r>
          </w:p>
        </w:tc>
        <w:tc>
          <w:tcPr>
            <w:tcW w:w="1096" w:type="pct"/>
            <w:shd w:val="clear" w:color="auto" w:fill="auto"/>
            <w:vAlign w:val="center"/>
          </w:tcPr>
          <w:p w14:paraId="177D3B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105504</w:t>
            </w:r>
          </w:p>
        </w:tc>
        <w:tc>
          <w:tcPr>
            <w:tcW w:w="396" w:type="pct"/>
            <w:shd w:val="clear" w:color="auto" w:fill="auto"/>
            <w:vAlign w:val="center"/>
          </w:tcPr>
          <w:p w14:paraId="3A6992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7F31DE2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3725290F">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54B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7D3E0B4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文本挖掘技术</w:t>
            </w:r>
          </w:p>
        </w:tc>
        <w:tc>
          <w:tcPr>
            <w:tcW w:w="1096" w:type="pct"/>
            <w:shd w:val="clear" w:color="auto" w:fill="auto"/>
            <w:vAlign w:val="center"/>
          </w:tcPr>
          <w:p w14:paraId="5043033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105510</w:t>
            </w:r>
          </w:p>
        </w:tc>
        <w:tc>
          <w:tcPr>
            <w:tcW w:w="396" w:type="pct"/>
            <w:shd w:val="clear" w:color="auto" w:fill="auto"/>
            <w:vAlign w:val="center"/>
          </w:tcPr>
          <w:p w14:paraId="35E0761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7F1FCB1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01BE1C2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309F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72FDA1C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金融优化</w:t>
            </w:r>
          </w:p>
        </w:tc>
        <w:tc>
          <w:tcPr>
            <w:tcW w:w="1096" w:type="pct"/>
            <w:shd w:val="clear" w:color="auto" w:fill="auto"/>
            <w:vAlign w:val="center"/>
          </w:tcPr>
          <w:p w14:paraId="07349D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106276</w:t>
            </w:r>
          </w:p>
        </w:tc>
        <w:tc>
          <w:tcPr>
            <w:tcW w:w="396" w:type="pct"/>
            <w:shd w:val="clear" w:color="auto" w:fill="auto"/>
            <w:vAlign w:val="center"/>
          </w:tcPr>
          <w:p w14:paraId="089385D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1E83705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33787EA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34A9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22683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实变函数</w:t>
            </w:r>
          </w:p>
        </w:tc>
        <w:tc>
          <w:tcPr>
            <w:tcW w:w="1096" w:type="pct"/>
            <w:shd w:val="clear" w:color="auto" w:fill="auto"/>
            <w:vAlign w:val="center"/>
          </w:tcPr>
          <w:p w14:paraId="1A86DF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100982</w:t>
            </w:r>
          </w:p>
        </w:tc>
        <w:tc>
          <w:tcPr>
            <w:tcW w:w="396" w:type="pct"/>
            <w:shd w:val="clear" w:color="auto" w:fill="auto"/>
            <w:vAlign w:val="center"/>
          </w:tcPr>
          <w:p w14:paraId="4344D7B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4313D42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6ABECC1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47CF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5A92F43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计算机视觉</w:t>
            </w:r>
          </w:p>
        </w:tc>
        <w:tc>
          <w:tcPr>
            <w:tcW w:w="1096" w:type="pct"/>
            <w:shd w:val="clear" w:color="auto" w:fill="auto"/>
            <w:vAlign w:val="center"/>
          </w:tcPr>
          <w:p w14:paraId="52AEC57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val="en-US" w:eastAsia="zh-CN" w:bidi="ar"/>
              </w:rPr>
              <w:t>107478</w:t>
            </w:r>
          </w:p>
        </w:tc>
        <w:tc>
          <w:tcPr>
            <w:tcW w:w="396" w:type="pct"/>
            <w:shd w:val="clear" w:color="auto" w:fill="auto"/>
            <w:vAlign w:val="center"/>
          </w:tcPr>
          <w:p w14:paraId="15D9E23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62C7064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7</w:t>
            </w:r>
          </w:p>
        </w:tc>
        <w:tc>
          <w:tcPr>
            <w:tcW w:w="1144" w:type="pct"/>
            <w:vMerge w:val="continue"/>
            <w:shd w:val="clear" w:color="auto" w:fill="auto"/>
            <w:vAlign w:val="center"/>
          </w:tcPr>
          <w:p w14:paraId="0847DC0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3D30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114BBA0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试验设计与观察性研究</w:t>
            </w:r>
          </w:p>
        </w:tc>
        <w:tc>
          <w:tcPr>
            <w:tcW w:w="1096" w:type="pct"/>
            <w:shd w:val="clear" w:color="auto" w:fill="auto"/>
            <w:vAlign w:val="center"/>
          </w:tcPr>
          <w:p w14:paraId="212D03E7">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107477</w:t>
            </w:r>
          </w:p>
        </w:tc>
        <w:tc>
          <w:tcPr>
            <w:tcW w:w="396" w:type="pct"/>
            <w:shd w:val="clear" w:color="auto" w:fill="auto"/>
            <w:vAlign w:val="center"/>
          </w:tcPr>
          <w:p w14:paraId="56FB687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05E39C3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continue"/>
            <w:shd w:val="clear" w:color="auto" w:fill="auto"/>
            <w:vAlign w:val="center"/>
          </w:tcPr>
          <w:p w14:paraId="07ED7F1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5CF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856038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数据结构</w:t>
            </w:r>
          </w:p>
        </w:tc>
        <w:tc>
          <w:tcPr>
            <w:tcW w:w="1096" w:type="pct"/>
            <w:shd w:val="clear" w:color="auto" w:fill="auto"/>
            <w:vAlign w:val="center"/>
          </w:tcPr>
          <w:p w14:paraId="66D2096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105506</w:t>
            </w:r>
          </w:p>
        </w:tc>
        <w:tc>
          <w:tcPr>
            <w:tcW w:w="396" w:type="pct"/>
            <w:shd w:val="clear" w:color="auto" w:fill="auto"/>
            <w:vAlign w:val="center"/>
          </w:tcPr>
          <w:p w14:paraId="22C00A4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3C56959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continue"/>
            <w:shd w:val="clear" w:color="auto" w:fill="auto"/>
            <w:vAlign w:val="center"/>
          </w:tcPr>
          <w:p w14:paraId="60B689B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346A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404544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数据库</w:t>
            </w:r>
          </w:p>
        </w:tc>
        <w:tc>
          <w:tcPr>
            <w:tcW w:w="1096" w:type="pct"/>
            <w:shd w:val="clear" w:color="auto" w:fill="auto"/>
            <w:vAlign w:val="center"/>
          </w:tcPr>
          <w:p w14:paraId="3521AA4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105508</w:t>
            </w:r>
          </w:p>
        </w:tc>
        <w:tc>
          <w:tcPr>
            <w:tcW w:w="396" w:type="pct"/>
            <w:shd w:val="clear" w:color="auto" w:fill="auto"/>
            <w:vAlign w:val="center"/>
          </w:tcPr>
          <w:p w14:paraId="678DCC5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77" w:type="pct"/>
            <w:shd w:val="clear" w:color="auto" w:fill="auto"/>
            <w:vAlign w:val="center"/>
          </w:tcPr>
          <w:p w14:paraId="45E4228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5C0E875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973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0361B31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抽样技术</w:t>
            </w:r>
          </w:p>
        </w:tc>
        <w:tc>
          <w:tcPr>
            <w:tcW w:w="1096" w:type="pct"/>
            <w:shd w:val="clear" w:color="auto" w:fill="auto"/>
            <w:vAlign w:val="center"/>
          </w:tcPr>
          <w:p w14:paraId="561F9CF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101592</w:t>
            </w:r>
          </w:p>
        </w:tc>
        <w:tc>
          <w:tcPr>
            <w:tcW w:w="396" w:type="pct"/>
            <w:shd w:val="clear" w:color="auto" w:fill="auto"/>
            <w:vAlign w:val="center"/>
          </w:tcPr>
          <w:p w14:paraId="15D5B1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4201D30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144" w:type="pct"/>
            <w:vMerge w:val="continue"/>
            <w:shd w:val="clear" w:color="auto" w:fill="auto"/>
            <w:vAlign w:val="center"/>
          </w:tcPr>
          <w:p w14:paraId="5B09FE7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1AC0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48E215D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数据分析与可视化</w:t>
            </w:r>
          </w:p>
        </w:tc>
        <w:tc>
          <w:tcPr>
            <w:tcW w:w="1096" w:type="pct"/>
            <w:shd w:val="clear" w:color="auto" w:fill="auto"/>
            <w:vAlign w:val="center"/>
          </w:tcPr>
          <w:p w14:paraId="246C507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103087</w:t>
            </w:r>
          </w:p>
        </w:tc>
        <w:tc>
          <w:tcPr>
            <w:tcW w:w="396" w:type="pct"/>
            <w:shd w:val="clear" w:color="auto" w:fill="auto"/>
            <w:vAlign w:val="center"/>
          </w:tcPr>
          <w:p w14:paraId="6A58A98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666C328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5FDC1FE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335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pct"/>
            <w:shd w:val="clear" w:color="auto" w:fill="auto"/>
            <w:vAlign w:val="center"/>
          </w:tcPr>
          <w:p w14:paraId="5EFFEBF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贝叶斯决策</w:t>
            </w:r>
          </w:p>
        </w:tc>
        <w:tc>
          <w:tcPr>
            <w:tcW w:w="1096" w:type="pct"/>
            <w:shd w:val="clear" w:color="auto" w:fill="auto"/>
            <w:vAlign w:val="center"/>
          </w:tcPr>
          <w:p w14:paraId="1B0CD6E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100202</w:t>
            </w:r>
          </w:p>
        </w:tc>
        <w:tc>
          <w:tcPr>
            <w:tcW w:w="396" w:type="pct"/>
            <w:shd w:val="clear" w:color="auto" w:fill="auto"/>
            <w:vAlign w:val="center"/>
          </w:tcPr>
          <w:p w14:paraId="569DF44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77" w:type="pct"/>
            <w:shd w:val="clear" w:color="auto" w:fill="auto"/>
            <w:vAlign w:val="center"/>
          </w:tcPr>
          <w:p w14:paraId="04B1FC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144" w:type="pct"/>
            <w:vMerge w:val="continue"/>
            <w:shd w:val="clear" w:color="auto" w:fill="auto"/>
            <w:vAlign w:val="center"/>
          </w:tcPr>
          <w:p w14:paraId="3B27DC2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bl>
    <w:p w14:paraId="3849A370">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rPr>
        <w:t>（2）跨学科选修</w:t>
      </w:r>
      <w:r>
        <w:rPr>
          <w:rFonts w:hint="eastAsia"/>
          <w:color w:val="auto"/>
          <w:szCs w:val="21"/>
          <w:lang w:val="en-US" w:eastAsia="zh-CN"/>
        </w:rPr>
        <w:t>修读建议</w:t>
      </w:r>
      <w:r>
        <w:rPr>
          <w:rFonts w:hint="eastAsia"/>
          <w:color w:val="auto"/>
          <w:szCs w:val="21"/>
        </w:rPr>
        <w:t>（金融统计与风险管理方向，6学分，包含国际课程1学分）</w:t>
      </w:r>
    </w:p>
    <w:p w14:paraId="7C0FD0AF">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color w:val="auto"/>
          <w:szCs w:val="21"/>
          <w:lang w:val="en-US" w:eastAsia="zh-CN"/>
        </w:rPr>
        <w:t>推荐</w:t>
      </w:r>
      <w:r>
        <w:rPr>
          <w:color w:val="auto"/>
          <w:szCs w:val="21"/>
        </w:rPr>
        <w:t>课程</w:t>
      </w:r>
      <w:r>
        <w:rPr>
          <w:rFonts w:hint="eastAsia"/>
          <w:color w:val="auto"/>
          <w:szCs w:val="21"/>
        </w:rPr>
        <w:t>清单如下：</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7"/>
        <w:gridCol w:w="1428"/>
        <w:gridCol w:w="745"/>
        <w:gridCol w:w="1236"/>
        <w:gridCol w:w="1853"/>
      </w:tblGrid>
      <w:tr w14:paraId="5EF5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911" w:type="pct"/>
            <w:vAlign w:val="center"/>
          </w:tcPr>
          <w:p w14:paraId="05C5C7FB">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课程名称</w:t>
            </w:r>
          </w:p>
        </w:tc>
        <w:tc>
          <w:tcPr>
            <w:tcW w:w="838" w:type="pct"/>
            <w:vAlign w:val="center"/>
          </w:tcPr>
          <w:p w14:paraId="0F95AC2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课程代码</w:t>
            </w:r>
          </w:p>
        </w:tc>
        <w:tc>
          <w:tcPr>
            <w:tcW w:w="437" w:type="pct"/>
            <w:vAlign w:val="center"/>
          </w:tcPr>
          <w:p w14:paraId="7BF9D79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学分</w:t>
            </w:r>
          </w:p>
        </w:tc>
        <w:tc>
          <w:tcPr>
            <w:tcW w:w="725" w:type="pct"/>
            <w:vAlign w:val="center"/>
          </w:tcPr>
          <w:p w14:paraId="3AD1898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开课学期</w:t>
            </w:r>
          </w:p>
        </w:tc>
        <w:tc>
          <w:tcPr>
            <w:tcW w:w="1087" w:type="pct"/>
            <w:vAlign w:val="center"/>
          </w:tcPr>
          <w:p w14:paraId="13953A96">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备注</w:t>
            </w:r>
          </w:p>
        </w:tc>
      </w:tr>
      <w:tr w14:paraId="7A49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053315C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电子商务</w:t>
            </w:r>
          </w:p>
        </w:tc>
        <w:tc>
          <w:tcPr>
            <w:tcW w:w="838" w:type="pct"/>
            <w:shd w:val="clear" w:color="auto" w:fill="auto"/>
            <w:vAlign w:val="center"/>
          </w:tcPr>
          <w:p w14:paraId="13D6FDF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100656</w:t>
            </w:r>
          </w:p>
        </w:tc>
        <w:tc>
          <w:tcPr>
            <w:tcW w:w="437" w:type="pct"/>
            <w:shd w:val="clear" w:color="auto" w:fill="auto"/>
            <w:vAlign w:val="center"/>
          </w:tcPr>
          <w:p w14:paraId="39D88B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4375002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1087" w:type="pct"/>
            <w:vMerge w:val="restart"/>
            <w:shd w:val="clear" w:color="auto" w:fill="auto"/>
            <w:vAlign w:val="center"/>
          </w:tcPr>
          <w:p w14:paraId="7A9326F0">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选修</w:t>
            </w:r>
          </w:p>
        </w:tc>
      </w:tr>
      <w:tr w14:paraId="3810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7935158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管理学</w:t>
            </w:r>
          </w:p>
        </w:tc>
        <w:tc>
          <w:tcPr>
            <w:tcW w:w="838" w:type="pct"/>
            <w:shd w:val="clear" w:color="auto" w:fill="auto"/>
            <w:vAlign w:val="center"/>
          </w:tcPr>
          <w:p w14:paraId="04878D2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101271</w:t>
            </w:r>
          </w:p>
        </w:tc>
        <w:tc>
          <w:tcPr>
            <w:tcW w:w="437" w:type="pct"/>
            <w:shd w:val="clear" w:color="auto" w:fill="auto"/>
            <w:vAlign w:val="center"/>
          </w:tcPr>
          <w:p w14:paraId="5F3DB73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5DAA10A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1087" w:type="pct"/>
            <w:vMerge w:val="continue"/>
            <w:shd w:val="clear" w:color="auto" w:fill="auto"/>
          </w:tcPr>
          <w:p w14:paraId="604E549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6CE1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677FF97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财务会计</w:t>
            </w:r>
          </w:p>
        </w:tc>
        <w:tc>
          <w:tcPr>
            <w:tcW w:w="838" w:type="pct"/>
            <w:shd w:val="clear" w:color="auto" w:fill="auto"/>
            <w:vAlign w:val="center"/>
          </w:tcPr>
          <w:p w14:paraId="33935A3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101314</w:t>
            </w:r>
          </w:p>
        </w:tc>
        <w:tc>
          <w:tcPr>
            <w:tcW w:w="437" w:type="pct"/>
            <w:shd w:val="clear" w:color="auto" w:fill="auto"/>
            <w:vAlign w:val="center"/>
          </w:tcPr>
          <w:p w14:paraId="36F820E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6814327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1087" w:type="pct"/>
            <w:vMerge w:val="continue"/>
            <w:shd w:val="clear" w:color="auto" w:fill="auto"/>
          </w:tcPr>
          <w:p w14:paraId="69E0B73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879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11BC4F6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会计学</w:t>
            </w:r>
          </w:p>
        </w:tc>
        <w:tc>
          <w:tcPr>
            <w:tcW w:w="838" w:type="pct"/>
            <w:shd w:val="clear" w:color="auto" w:fill="auto"/>
            <w:vAlign w:val="center"/>
          </w:tcPr>
          <w:p w14:paraId="003FED6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101376</w:t>
            </w:r>
          </w:p>
        </w:tc>
        <w:tc>
          <w:tcPr>
            <w:tcW w:w="437" w:type="pct"/>
            <w:shd w:val="clear" w:color="auto" w:fill="auto"/>
            <w:vAlign w:val="center"/>
          </w:tcPr>
          <w:p w14:paraId="2F82617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37E26AD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1087" w:type="pct"/>
            <w:vMerge w:val="continue"/>
            <w:shd w:val="clear" w:color="auto" w:fill="auto"/>
            <w:vAlign w:val="center"/>
          </w:tcPr>
          <w:p w14:paraId="0429F3C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4451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5A0C6A0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公司金融</w:t>
            </w:r>
          </w:p>
        </w:tc>
        <w:tc>
          <w:tcPr>
            <w:tcW w:w="838" w:type="pct"/>
            <w:shd w:val="clear" w:color="auto" w:fill="auto"/>
            <w:vAlign w:val="center"/>
          </w:tcPr>
          <w:p w14:paraId="294CE2AB">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101110</w:t>
            </w:r>
          </w:p>
        </w:tc>
        <w:tc>
          <w:tcPr>
            <w:tcW w:w="437" w:type="pct"/>
            <w:shd w:val="clear" w:color="auto" w:fill="auto"/>
            <w:vAlign w:val="center"/>
          </w:tcPr>
          <w:p w14:paraId="05A0763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77E3E96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1087" w:type="pct"/>
            <w:vMerge w:val="continue"/>
            <w:shd w:val="clear" w:color="auto" w:fill="auto"/>
            <w:vAlign w:val="center"/>
          </w:tcPr>
          <w:p w14:paraId="7D7D206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BFC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1647171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信息系统分析与设计</w:t>
            </w:r>
          </w:p>
        </w:tc>
        <w:tc>
          <w:tcPr>
            <w:tcW w:w="838" w:type="pct"/>
            <w:shd w:val="clear" w:color="auto" w:fill="auto"/>
            <w:vAlign w:val="center"/>
          </w:tcPr>
          <w:p w14:paraId="404EB5C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100319</w:t>
            </w:r>
          </w:p>
        </w:tc>
        <w:tc>
          <w:tcPr>
            <w:tcW w:w="437" w:type="pct"/>
            <w:shd w:val="clear" w:color="auto" w:fill="auto"/>
            <w:vAlign w:val="center"/>
          </w:tcPr>
          <w:p w14:paraId="269FC7D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725" w:type="pct"/>
            <w:shd w:val="clear" w:color="auto" w:fill="auto"/>
            <w:vAlign w:val="center"/>
          </w:tcPr>
          <w:p w14:paraId="5AC2605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6DF5DBC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E8E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7C76359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市场营销学</w:t>
            </w:r>
          </w:p>
        </w:tc>
        <w:tc>
          <w:tcPr>
            <w:tcW w:w="838" w:type="pct"/>
            <w:shd w:val="clear" w:color="auto" w:fill="auto"/>
            <w:vAlign w:val="center"/>
          </w:tcPr>
          <w:p w14:paraId="5DF3299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101639</w:t>
            </w:r>
          </w:p>
        </w:tc>
        <w:tc>
          <w:tcPr>
            <w:tcW w:w="437" w:type="pct"/>
            <w:shd w:val="clear" w:color="auto" w:fill="auto"/>
            <w:vAlign w:val="center"/>
          </w:tcPr>
          <w:p w14:paraId="54904FC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3F50E2F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1D206352">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6EA6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4D29874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货币银行学</w:t>
            </w:r>
          </w:p>
        </w:tc>
        <w:tc>
          <w:tcPr>
            <w:tcW w:w="838" w:type="pct"/>
            <w:shd w:val="clear" w:color="auto" w:fill="auto"/>
            <w:vAlign w:val="center"/>
          </w:tcPr>
          <w:p w14:paraId="4D37A51B">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107385</w:t>
            </w:r>
          </w:p>
        </w:tc>
        <w:tc>
          <w:tcPr>
            <w:tcW w:w="437" w:type="pct"/>
            <w:shd w:val="clear" w:color="auto" w:fill="auto"/>
            <w:vAlign w:val="center"/>
          </w:tcPr>
          <w:p w14:paraId="6AC5CF6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41B19C8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55CE83E4">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F34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084A255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投资学</w:t>
            </w:r>
          </w:p>
        </w:tc>
        <w:tc>
          <w:tcPr>
            <w:tcW w:w="838" w:type="pct"/>
            <w:shd w:val="clear" w:color="auto" w:fill="auto"/>
            <w:vAlign w:val="center"/>
          </w:tcPr>
          <w:p w14:paraId="1F868B0A">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100054</w:t>
            </w:r>
          </w:p>
        </w:tc>
        <w:tc>
          <w:tcPr>
            <w:tcW w:w="437" w:type="pct"/>
            <w:shd w:val="clear" w:color="auto" w:fill="auto"/>
            <w:vAlign w:val="center"/>
          </w:tcPr>
          <w:p w14:paraId="0790C6B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58242A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7E76D0C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F3C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1566561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经济法概论</w:t>
            </w:r>
          </w:p>
        </w:tc>
        <w:tc>
          <w:tcPr>
            <w:tcW w:w="838" w:type="pct"/>
            <w:shd w:val="clear" w:color="auto" w:fill="auto"/>
            <w:vAlign w:val="center"/>
          </w:tcPr>
          <w:p w14:paraId="12022812">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100481</w:t>
            </w:r>
          </w:p>
        </w:tc>
        <w:tc>
          <w:tcPr>
            <w:tcW w:w="437" w:type="pct"/>
            <w:shd w:val="clear" w:color="auto" w:fill="auto"/>
            <w:vAlign w:val="center"/>
          </w:tcPr>
          <w:p w14:paraId="77C8015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4EE87FC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487A19CE">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4BF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2BEA492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财务管理</w:t>
            </w:r>
          </w:p>
        </w:tc>
        <w:tc>
          <w:tcPr>
            <w:tcW w:w="838" w:type="pct"/>
            <w:shd w:val="clear" w:color="auto" w:fill="auto"/>
            <w:vAlign w:val="center"/>
          </w:tcPr>
          <w:p w14:paraId="5605AC92">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102826</w:t>
            </w:r>
          </w:p>
        </w:tc>
        <w:tc>
          <w:tcPr>
            <w:tcW w:w="437" w:type="pct"/>
            <w:shd w:val="clear" w:color="auto" w:fill="auto"/>
            <w:vAlign w:val="center"/>
          </w:tcPr>
          <w:p w14:paraId="32BA2E7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2B9635E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3C9E6CC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77A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74B16A0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highlight w:val="none"/>
                <w:lang w:bidi="ar"/>
              </w:rPr>
            </w:pPr>
            <w:r>
              <w:rPr>
                <w:rFonts w:hint="eastAsia" w:ascii="微软雅黑" w:hAnsi="微软雅黑" w:cs="微软雅黑"/>
                <w:color w:val="auto"/>
                <w:kern w:val="0"/>
                <w:sz w:val="18"/>
                <w:szCs w:val="18"/>
                <w:highlight w:val="none"/>
                <w:lang w:bidi="ar"/>
              </w:rPr>
              <w:t xml:space="preserve"> 管理会计</w:t>
            </w:r>
          </w:p>
        </w:tc>
        <w:tc>
          <w:tcPr>
            <w:tcW w:w="838" w:type="pct"/>
            <w:shd w:val="clear" w:color="auto" w:fill="auto"/>
            <w:vAlign w:val="center"/>
          </w:tcPr>
          <w:p w14:paraId="553EB9C8">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highlight w:val="none"/>
                <w:lang w:val="en-US" w:eastAsia="zh-CN" w:bidi="ar"/>
              </w:rPr>
            </w:pPr>
            <w:r>
              <w:rPr>
                <w:rFonts w:hint="eastAsia" w:ascii="微软雅黑" w:hAnsi="微软雅黑" w:cs="微软雅黑"/>
                <w:color w:val="auto"/>
                <w:kern w:val="0"/>
                <w:sz w:val="18"/>
                <w:szCs w:val="18"/>
                <w:highlight w:val="none"/>
                <w:lang w:val="en-US" w:eastAsia="zh-CN" w:bidi="ar"/>
              </w:rPr>
              <w:t>101568</w:t>
            </w:r>
          </w:p>
        </w:tc>
        <w:tc>
          <w:tcPr>
            <w:tcW w:w="437" w:type="pct"/>
            <w:shd w:val="clear" w:color="auto" w:fill="auto"/>
            <w:vAlign w:val="center"/>
          </w:tcPr>
          <w:p w14:paraId="626A231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25" w:type="pct"/>
            <w:shd w:val="clear" w:color="auto" w:fill="auto"/>
            <w:vAlign w:val="center"/>
          </w:tcPr>
          <w:p w14:paraId="1CD0353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1087" w:type="pct"/>
            <w:vMerge w:val="continue"/>
            <w:shd w:val="clear" w:color="auto" w:fill="auto"/>
            <w:vAlign w:val="center"/>
          </w:tcPr>
          <w:p w14:paraId="7A966A59">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BA6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407E1E2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国际金融</w:t>
            </w:r>
          </w:p>
        </w:tc>
        <w:tc>
          <w:tcPr>
            <w:tcW w:w="838" w:type="pct"/>
            <w:shd w:val="clear" w:color="auto" w:fill="auto"/>
            <w:vAlign w:val="center"/>
          </w:tcPr>
          <w:p w14:paraId="4158573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100830</w:t>
            </w:r>
          </w:p>
        </w:tc>
        <w:tc>
          <w:tcPr>
            <w:tcW w:w="437" w:type="pct"/>
            <w:shd w:val="clear" w:color="auto" w:fill="auto"/>
            <w:vAlign w:val="center"/>
          </w:tcPr>
          <w:p w14:paraId="75170C5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1041F96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087" w:type="pct"/>
            <w:vMerge w:val="continue"/>
            <w:shd w:val="clear" w:color="auto" w:fill="auto"/>
            <w:vAlign w:val="center"/>
          </w:tcPr>
          <w:p w14:paraId="4E0A492C">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179A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2C2289F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国际贸易</w:t>
            </w:r>
          </w:p>
        </w:tc>
        <w:tc>
          <w:tcPr>
            <w:tcW w:w="838" w:type="pct"/>
            <w:shd w:val="clear" w:color="auto" w:fill="auto"/>
            <w:vAlign w:val="center"/>
          </w:tcPr>
          <w:p w14:paraId="44145AE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100831</w:t>
            </w:r>
          </w:p>
        </w:tc>
        <w:tc>
          <w:tcPr>
            <w:tcW w:w="437" w:type="pct"/>
            <w:shd w:val="clear" w:color="auto" w:fill="auto"/>
            <w:vAlign w:val="center"/>
          </w:tcPr>
          <w:p w14:paraId="5BEFCE9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19D4868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087" w:type="pct"/>
            <w:vMerge w:val="continue"/>
            <w:shd w:val="clear" w:color="auto" w:fill="auto"/>
            <w:vAlign w:val="center"/>
          </w:tcPr>
          <w:p w14:paraId="093A2B4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021F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16D39C0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大数据及其在经济领域的应用</w:t>
            </w:r>
          </w:p>
        </w:tc>
        <w:tc>
          <w:tcPr>
            <w:tcW w:w="838" w:type="pct"/>
            <w:shd w:val="clear" w:color="auto" w:fill="auto"/>
            <w:vAlign w:val="center"/>
          </w:tcPr>
          <w:p w14:paraId="4F15047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102336</w:t>
            </w:r>
          </w:p>
        </w:tc>
        <w:tc>
          <w:tcPr>
            <w:tcW w:w="437" w:type="pct"/>
            <w:shd w:val="clear" w:color="auto" w:fill="auto"/>
            <w:vAlign w:val="center"/>
          </w:tcPr>
          <w:p w14:paraId="7459403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1F0168E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1087" w:type="pct"/>
            <w:vMerge w:val="continue"/>
            <w:shd w:val="clear" w:color="auto" w:fill="auto"/>
            <w:vAlign w:val="center"/>
          </w:tcPr>
          <w:p w14:paraId="1422478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54DB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1623DAD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社会保障学</w:t>
            </w:r>
          </w:p>
        </w:tc>
        <w:tc>
          <w:tcPr>
            <w:tcW w:w="838" w:type="pct"/>
            <w:shd w:val="clear" w:color="auto" w:fill="auto"/>
            <w:vAlign w:val="center"/>
          </w:tcPr>
          <w:p w14:paraId="788E9F7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100016</w:t>
            </w:r>
          </w:p>
        </w:tc>
        <w:tc>
          <w:tcPr>
            <w:tcW w:w="437" w:type="pct"/>
            <w:shd w:val="clear" w:color="auto" w:fill="auto"/>
            <w:vAlign w:val="center"/>
          </w:tcPr>
          <w:p w14:paraId="1288FF7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2CBD1A5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087" w:type="pct"/>
            <w:vMerge w:val="continue"/>
            <w:shd w:val="clear" w:color="auto" w:fill="auto"/>
            <w:vAlign w:val="center"/>
          </w:tcPr>
          <w:p w14:paraId="6DA7AE6D">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7F06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050ACF2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金融机构与金融市场</w:t>
            </w:r>
          </w:p>
        </w:tc>
        <w:tc>
          <w:tcPr>
            <w:tcW w:w="838" w:type="pct"/>
            <w:shd w:val="clear" w:color="auto" w:fill="auto"/>
            <w:vAlign w:val="center"/>
          </w:tcPr>
          <w:p w14:paraId="0ABA82BC">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101566</w:t>
            </w:r>
          </w:p>
        </w:tc>
        <w:tc>
          <w:tcPr>
            <w:tcW w:w="437" w:type="pct"/>
            <w:shd w:val="clear" w:color="auto" w:fill="auto"/>
            <w:vAlign w:val="center"/>
          </w:tcPr>
          <w:p w14:paraId="30361F2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2756894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087" w:type="pct"/>
            <w:vMerge w:val="continue"/>
            <w:shd w:val="clear" w:color="auto" w:fill="auto"/>
            <w:vAlign w:val="center"/>
          </w:tcPr>
          <w:p w14:paraId="3DDDBF77">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r w14:paraId="23B2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49DA95E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财政学</w:t>
            </w:r>
          </w:p>
        </w:tc>
        <w:tc>
          <w:tcPr>
            <w:tcW w:w="838" w:type="pct"/>
            <w:shd w:val="clear" w:color="auto" w:fill="auto"/>
            <w:vAlign w:val="center"/>
          </w:tcPr>
          <w:p w14:paraId="61B60AA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102041</w:t>
            </w:r>
          </w:p>
        </w:tc>
        <w:tc>
          <w:tcPr>
            <w:tcW w:w="437" w:type="pct"/>
            <w:shd w:val="clear" w:color="auto" w:fill="auto"/>
            <w:vAlign w:val="center"/>
          </w:tcPr>
          <w:p w14:paraId="1FC3579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25" w:type="pct"/>
            <w:shd w:val="clear" w:color="auto" w:fill="auto"/>
            <w:vAlign w:val="center"/>
          </w:tcPr>
          <w:p w14:paraId="2403710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1087" w:type="pct"/>
            <w:vMerge w:val="restart"/>
            <w:shd w:val="clear" w:color="auto" w:fill="auto"/>
            <w:vAlign w:val="center"/>
          </w:tcPr>
          <w:p w14:paraId="3312FB98">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Cs w:val="21"/>
              </w:rPr>
              <w:t>选修</w:t>
            </w:r>
          </w:p>
          <w:p w14:paraId="7A4AD3F3">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r>
              <w:rPr>
                <w:rFonts w:hint="eastAsia" w:ascii="黑体" w:hAnsi="黑体" w:eastAsia="黑体" w:cs="黑体"/>
                <w:b/>
                <w:bCs/>
                <w:color w:val="auto"/>
                <w:sz w:val="15"/>
                <w:szCs w:val="15"/>
              </w:rPr>
              <w:t>（该专业方向必须修读）</w:t>
            </w:r>
          </w:p>
        </w:tc>
      </w:tr>
      <w:tr w14:paraId="676A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1" w:type="pct"/>
            <w:shd w:val="clear" w:color="auto" w:fill="auto"/>
            <w:vAlign w:val="center"/>
          </w:tcPr>
          <w:p w14:paraId="02AB7E1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国际课程</w:t>
            </w:r>
          </w:p>
        </w:tc>
        <w:tc>
          <w:tcPr>
            <w:tcW w:w="838" w:type="pct"/>
            <w:shd w:val="clear" w:color="auto" w:fill="auto"/>
            <w:vAlign w:val="center"/>
          </w:tcPr>
          <w:p w14:paraId="08120E2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w:t>
            </w:r>
          </w:p>
        </w:tc>
        <w:tc>
          <w:tcPr>
            <w:tcW w:w="437" w:type="pct"/>
            <w:shd w:val="clear" w:color="auto" w:fill="auto"/>
            <w:vAlign w:val="center"/>
          </w:tcPr>
          <w:p w14:paraId="37B6C6E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w:t>
            </w:r>
          </w:p>
        </w:tc>
        <w:tc>
          <w:tcPr>
            <w:tcW w:w="725" w:type="pct"/>
            <w:shd w:val="clear" w:color="auto" w:fill="auto"/>
            <w:vAlign w:val="center"/>
          </w:tcPr>
          <w:p w14:paraId="79F9E56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w:t>
            </w:r>
          </w:p>
        </w:tc>
        <w:tc>
          <w:tcPr>
            <w:tcW w:w="1087" w:type="pct"/>
            <w:vMerge w:val="continue"/>
            <w:shd w:val="clear" w:color="auto" w:fill="auto"/>
            <w:vAlign w:val="center"/>
          </w:tcPr>
          <w:p w14:paraId="02E35CC5">
            <w:pPr>
              <w:pageBreakBefore w:val="0"/>
              <w:kinsoku/>
              <w:wordWrap/>
              <w:overflowPunct/>
              <w:topLinePunct w:val="0"/>
              <w:autoSpaceDE/>
              <w:autoSpaceDN/>
              <w:bidi w:val="0"/>
              <w:adjustRightInd/>
              <w:snapToGrid/>
              <w:jc w:val="center"/>
              <w:outlineLvl w:val="9"/>
              <w:rPr>
                <w:rFonts w:hint="eastAsia" w:ascii="黑体" w:hAnsi="黑体" w:eastAsia="黑体" w:cs="黑体"/>
                <w:b/>
                <w:bCs/>
                <w:color w:val="auto"/>
                <w:szCs w:val="21"/>
              </w:rPr>
            </w:pPr>
          </w:p>
        </w:tc>
      </w:tr>
    </w:tbl>
    <w:p w14:paraId="00A96FEB">
      <w:pPr>
        <w:pageBreakBefore w:val="0"/>
        <w:kinsoku/>
        <w:wordWrap/>
        <w:overflowPunct/>
        <w:topLinePunct w:val="0"/>
        <w:autoSpaceDE/>
        <w:autoSpaceDN/>
        <w:bidi w:val="0"/>
        <w:adjustRightInd/>
        <w:snapToGrid/>
        <w:ind w:firstLine="420" w:firstLineChars="200"/>
        <w:outlineLvl w:val="9"/>
        <w:rPr>
          <w:color w:val="auto"/>
          <w:szCs w:val="21"/>
        </w:rPr>
      </w:pPr>
      <w:r>
        <w:rPr>
          <w:rFonts w:hint="eastAsia" w:asciiTheme="minorHAnsi" w:hAnsiTheme="minorHAnsi" w:eastAsiaTheme="minorEastAsia" w:cstheme="minorBidi"/>
          <w:color w:val="auto"/>
          <w:szCs w:val="21"/>
        </w:rPr>
        <w:t>（</w:t>
      </w:r>
      <w:r>
        <w:rPr>
          <w:rFonts w:hint="eastAsia" w:cstheme="minorBidi"/>
          <w:color w:val="auto"/>
          <w:szCs w:val="21"/>
        </w:rPr>
        <w:t>3</w:t>
      </w:r>
      <w:r>
        <w:rPr>
          <w:rFonts w:hint="eastAsia" w:asciiTheme="minorHAnsi" w:hAnsiTheme="minorHAnsi" w:eastAsiaTheme="minorEastAsia" w:cstheme="minorBidi"/>
          <w:color w:val="auto"/>
          <w:szCs w:val="21"/>
        </w:rPr>
        <w:t>）</w:t>
      </w:r>
      <w:r>
        <w:rPr>
          <w:rFonts w:hint="eastAsia"/>
          <w:color w:val="auto"/>
          <w:szCs w:val="21"/>
        </w:rPr>
        <w:t>双创训练认定要求（2学分）</w:t>
      </w:r>
    </w:p>
    <w:p w14:paraId="7F372EA2">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color w:val="auto"/>
          <w:szCs w:val="21"/>
        </w:rPr>
      </w:pPr>
      <w:r>
        <w:rPr>
          <w:rFonts w:hint="eastAsia" w:ascii="华文中宋" w:hAnsi="华文中宋" w:eastAsia="华文中宋" w:cs="华文中宋"/>
          <w:color w:val="auto"/>
          <w:kern w:val="0"/>
          <w:szCs w:val="21"/>
        </w:rPr>
        <w:t>参照《上海财经大学本科生第二课堂(实践教育)学分认定及实施办法》中“学术报告</w:t>
      </w:r>
      <w:r>
        <w:rPr>
          <w:rFonts w:hint="eastAsia" w:ascii="华文中宋" w:hAnsi="华文中宋" w:eastAsia="华文中宋" w:cs="华文中宋"/>
          <w:color w:val="auto"/>
          <w:kern w:val="0"/>
          <w:szCs w:val="21"/>
        </w:rPr>
        <w:br w:type="textWrapping"/>
      </w:r>
      <w:r>
        <w:rPr>
          <w:rFonts w:hint="eastAsia" w:ascii="华文中宋" w:hAnsi="华文中宋" w:eastAsia="华文中宋" w:cs="华文中宋"/>
          <w:color w:val="auto"/>
          <w:kern w:val="0"/>
          <w:szCs w:val="21"/>
        </w:rPr>
        <w:t>与讲座类”、“创新创业与科研类”学分获取要求，修满2分。</w:t>
      </w:r>
    </w:p>
    <w:p w14:paraId="0304F9C3">
      <w:pPr>
        <w:pageBreakBefore w:val="0"/>
        <w:kinsoku/>
        <w:wordWrap/>
        <w:overflowPunct/>
        <w:topLinePunct w:val="0"/>
        <w:autoSpaceDE/>
        <w:autoSpaceDN/>
        <w:bidi w:val="0"/>
        <w:adjustRightInd/>
        <w:snapToGrid/>
        <w:ind w:firstLine="422" w:firstLineChars="200"/>
        <w:outlineLvl w:val="9"/>
        <w:rPr>
          <w:rFonts w:asciiTheme="minorHAnsi" w:hAnsiTheme="minorHAnsi" w:eastAsiaTheme="minorEastAsia" w:cstheme="minorBidi"/>
          <w:b/>
          <w:bCs/>
          <w:color w:val="auto"/>
          <w:szCs w:val="21"/>
        </w:rPr>
      </w:pPr>
    </w:p>
    <w:p w14:paraId="70EE650F">
      <w:pPr>
        <w:pageBreakBefore w:val="0"/>
        <w:kinsoku/>
        <w:wordWrap/>
        <w:overflowPunct/>
        <w:topLinePunct w:val="0"/>
        <w:autoSpaceDE/>
        <w:autoSpaceDN/>
        <w:bidi w:val="0"/>
        <w:adjustRightInd/>
        <w:snapToGrid/>
        <w:ind w:firstLine="422" w:firstLineChars="200"/>
        <w:outlineLvl w:val="9"/>
        <w:rPr>
          <w:b/>
          <w:bCs/>
          <w:color w:val="auto"/>
          <w:szCs w:val="21"/>
        </w:rPr>
      </w:pPr>
      <w:r>
        <w:rPr>
          <w:rFonts w:hint="eastAsia" w:asciiTheme="minorHAnsi" w:hAnsiTheme="minorHAnsi" w:eastAsiaTheme="minorEastAsia" w:cstheme="minorBidi"/>
          <w:b/>
          <w:bCs/>
          <w:color w:val="auto"/>
          <w:szCs w:val="21"/>
        </w:rPr>
        <w:t>2.</w:t>
      </w:r>
      <w:r>
        <w:rPr>
          <w:rFonts w:hint="eastAsia"/>
          <w:b/>
          <w:bCs/>
          <w:color w:val="auto"/>
          <w:szCs w:val="21"/>
        </w:rPr>
        <w:t>创业型培养模块</w:t>
      </w:r>
    </w:p>
    <w:p w14:paraId="04A7EBA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（1）创业课程群参照创业型培养方案。</w:t>
      </w:r>
    </w:p>
    <w:p w14:paraId="39078815">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ascii="华文中宋" w:hAnsi="华文中宋" w:eastAsia="华文中宋" w:cs="华文中宋"/>
          <w:color w:val="auto"/>
          <w:kern w:val="0"/>
          <w:szCs w:val="21"/>
        </w:rPr>
        <w:t>（2）</w:t>
      </w:r>
      <w:r>
        <w:rPr>
          <w:rFonts w:hint="eastAsia" w:ascii="华文中宋" w:hAnsi="华文中宋" w:eastAsia="华文中宋" w:cs="华文中宋"/>
          <w:color w:val="auto"/>
          <w:kern w:val="0"/>
          <w:szCs w:val="21"/>
        </w:rPr>
        <w:t>专业方向模块课程清单参照卓越型该方向的专业方向模块课程清单。</w:t>
      </w:r>
    </w:p>
    <w:p w14:paraId="70FC6C7C">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（3）跨学科选修课程清单参照卓越型该方向的跨学科选修模块课程清单。</w:t>
      </w:r>
    </w:p>
    <w:p w14:paraId="1EDACF9A">
      <w:pPr>
        <w:pageBreakBefore w:val="0"/>
        <w:kinsoku/>
        <w:wordWrap/>
        <w:overflowPunct/>
        <w:topLinePunct w:val="0"/>
        <w:autoSpaceDE/>
        <w:autoSpaceDN/>
        <w:bidi w:val="0"/>
        <w:adjustRightInd/>
        <w:snapToGrid/>
        <w:outlineLvl w:val="9"/>
        <w:rPr>
          <w:b/>
          <w:bCs/>
          <w:color w:val="auto"/>
          <w:szCs w:val="21"/>
        </w:rPr>
      </w:pPr>
    </w:p>
    <w:p w14:paraId="4B5B18D7">
      <w:pPr>
        <w:pageBreakBefore w:val="0"/>
        <w:kinsoku/>
        <w:wordWrap/>
        <w:overflowPunct/>
        <w:topLinePunct w:val="0"/>
        <w:autoSpaceDE/>
        <w:autoSpaceDN/>
        <w:bidi w:val="0"/>
        <w:adjustRightInd/>
        <w:snapToGrid/>
        <w:outlineLvl w:val="9"/>
        <w:rPr>
          <w:b/>
          <w:bCs/>
          <w:color w:val="auto"/>
          <w:szCs w:val="21"/>
        </w:rPr>
      </w:pPr>
    </w:p>
    <w:p w14:paraId="00D4DE67">
      <w:pPr>
        <w:pStyle w:val="20"/>
        <w:pageBreakBefore w:val="0"/>
        <w:widowControl/>
        <w:kinsoku/>
        <w:wordWrap/>
        <w:overflowPunct/>
        <w:topLinePunct w:val="0"/>
        <w:autoSpaceDE/>
        <w:autoSpaceDN/>
        <w:bidi w:val="0"/>
        <w:adjustRightInd/>
        <w:snapToGrid/>
        <w:ind w:firstLine="0" w:firstLineChars="0"/>
        <w:jc w:val="left"/>
        <w:outlineLvl w:val="9"/>
        <w:rPr>
          <w:rFonts w:hint="eastAsia" w:ascii="宋体" w:hAnsi="宋体" w:eastAsia="宋体"/>
          <w:b/>
          <w:bCs/>
          <w:color w:val="auto"/>
          <w:szCs w:val="21"/>
        </w:rPr>
      </w:pPr>
      <w:r>
        <w:rPr>
          <w:rFonts w:hint="eastAsia" w:asciiTheme="minorHAnsi" w:hAnsiTheme="minorHAnsi" w:eastAsiaTheme="minorEastAsia" w:cstheme="minorBidi"/>
          <w:b/>
          <w:bCs/>
          <w:color w:val="auto"/>
          <w:szCs w:val="21"/>
        </w:rPr>
        <w:t>II、</w:t>
      </w:r>
      <w:r>
        <w:rPr>
          <w:rFonts w:hint="eastAsia" w:ascii="宋体" w:hAnsi="宋体" w:eastAsia="宋体"/>
          <w:b/>
          <w:bCs/>
          <w:color w:val="auto"/>
          <w:szCs w:val="21"/>
        </w:rPr>
        <w:t>列明培养</w:t>
      </w:r>
      <w:r>
        <w:rPr>
          <w:rFonts w:ascii="宋体" w:hAnsi="宋体" w:eastAsia="宋体"/>
          <w:b/>
          <w:bCs/>
          <w:color w:val="auto"/>
          <w:szCs w:val="21"/>
        </w:rPr>
        <w:t>目标与</w:t>
      </w:r>
      <w:r>
        <w:rPr>
          <w:rFonts w:hint="eastAsia" w:ascii="宋体" w:hAnsi="宋体" w:eastAsia="宋体"/>
          <w:b/>
          <w:bCs/>
          <w:color w:val="auto"/>
          <w:szCs w:val="21"/>
        </w:rPr>
        <w:t>相关课程设置关系</w:t>
      </w:r>
      <w:r>
        <w:rPr>
          <w:rFonts w:ascii="宋体" w:hAnsi="宋体" w:eastAsia="宋体"/>
          <w:b/>
          <w:bCs/>
          <w:color w:val="auto"/>
          <w:szCs w:val="21"/>
        </w:rPr>
        <w:t>，</w:t>
      </w:r>
      <w:r>
        <w:rPr>
          <w:rFonts w:hint="eastAsia" w:ascii="宋体" w:hAnsi="宋体" w:eastAsia="宋体"/>
          <w:b/>
          <w:bCs/>
          <w:color w:val="auto"/>
          <w:szCs w:val="21"/>
        </w:rPr>
        <w:t>以图表或表格</w:t>
      </w:r>
      <w:r>
        <w:rPr>
          <w:rFonts w:ascii="宋体" w:hAnsi="宋体" w:eastAsia="宋体"/>
          <w:b/>
          <w:bCs/>
          <w:color w:val="auto"/>
          <w:szCs w:val="21"/>
        </w:rPr>
        <w:t>形式</w:t>
      </w:r>
      <w:r>
        <w:rPr>
          <w:rFonts w:hint="eastAsia" w:ascii="宋体" w:hAnsi="宋体" w:eastAsia="宋体"/>
          <w:b/>
          <w:bCs/>
          <w:color w:val="auto"/>
          <w:szCs w:val="21"/>
        </w:rPr>
        <w:t>呈现</w:t>
      </w:r>
      <w:r>
        <w:rPr>
          <w:rFonts w:ascii="宋体" w:hAnsi="宋体" w:eastAsia="宋体"/>
          <w:b/>
          <w:bCs/>
          <w:color w:val="auto"/>
          <w:szCs w:val="21"/>
        </w:rPr>
        <w:t>。</w:t>
      </w:r>
    </w:p>
    <w:p w14:paraId="14A3B209">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80" w:firstLineChars="200"/>
        <w:jc w:val="center"/>
        <w:outlineLvl w:val="9"/>
        <w:rPr>
          <w:rFonts w:hint="eastAsia" w:ascii="黑体" w:hAnsi="黑体" w:eastAsia="黑体" w:cs="宋体"/>
          <w:color w:val="auto"/>
          <w:kern w:val="0"/>
          <w:sz w:val="24"/>
        </w:rPr>
      </w:pPr>
      <w:r>
        <w:rPr>
          <w:rFonts w:hint="eastAsia" w:ascii="黑体" w:hAnsi="黑体" w:eastAsia="黑体" w:cs="宋体"/>
          <w:color w:val="auto"/>
          <w:kern w:val="0"/>
          <w:sz w:val="24"/>
        </w:rPr>
        <w:t>培养方案中课程与知识领域对应情况</w:t>
      </w:r>
    </w:p>
    <w:tbl>
      <w:tblPr>
        <w:tblStyle w:val="18"/>
        <w:tblW w:w="55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514"/>
        <w:gridCol w:w="3539"/>
        <w:gridCol w:w="3695"/>
      </w:tblGrid>
      <w:tr w14:paraId="187D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66F1D02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序号</w:t>
            </w:r>
          </w:p>
        </w:tc>
        <w:tc>
          <w:tcPr>
            <w:tcW w:w="799" w:type="pct"/>
            <w:vAlign w:val="center"/>
          </w:tcPr>
          <w:p w14:paraId="65CC5C2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知识领域</w:t>
            </w:r>
          </w:p>
        </w:tc>
        <w:tc>
          <w:tcPr>
            <w:tcW w:w="1868" w:type="pct"/>
            <w:vAlign w:val="center"/>
          </w:tcPr>
          <w:p w14:paraId="6BF8017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教育部教指委专业标准</w:t>
            </w:r>
          </w:p>
        </w:tc>
        <w:tc>
          <w:tcPr>
            <w:tcW w:w="1950" w:type="pct"/>
            <w:vAlign w:val="center"/>
          </w:tcPr>
          <w:p w14:paraId="245CD5AC">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本专业开设的相关课程</w:t>
            </w:r>
          </w:p>
        </w:tc>
      </w:tr>
      <w:tr w14:paraId="2B9F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348CE44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1</w:t>
            </w:r>
          </w:p>
        </w:tc>
        <w:tc>
          <w:tcPr>
            <w:tcW w:w="799" w:type="pct"/>
            <w:vAlign w:val="center"/>
          </w:tcPr>
          <w:p w14:paraId="1C1D7EA3">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基础性知识</w:t>
            </w:r>
          </w:p>
        </w:tc>
        <w:tc>
          <w:tcPr>
            <w:tcW w:w="1868" w:type="pct"/>
            <w:vAlign w:val="center"/>
          </w:tcPr>
          <w:p w14:paraId="328FF1B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包括经济学、管理学、政治学、社会学和法学等社会科学知识，以及有利于促进学生全面发展的人文、艺术和自然科学知识。</w:t>
            </w:r>
          </w:p>
        </w:tc>
        <w:tc>
          <w:tcPr>
            <w:tcW w:w="3695" w:type="dxa"/>
            <w:vAlign w:val="center"/>
          </w:tcPr>
          <w:p w14:paraId="573872F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通识教育课程体系中的思想政治理论课程模块</w:t>
            </w:r>
            <w:r>
              <w:rPr>
                <w:rFonts w:hint="eastAsia" w:ascii="华文中宋" w:hAnsi="华文中宋" w:eastAsia="华文中宋" w:cs="华文中宋"/>
                <w:color w:val="auto"/>
                <w:kern w:val="0"/>
                <w:szCs w:val="21"/>
                <w:lang w:val="en-US" w:eastAsia="zh-CN"/>
              </w:rPr>
              <w:t>、通识限选课程、</w:t>
            </w:r>
            <w:r>
              <w:rPr>
                <w:rFonts w:hint="eastAsia" w:ascii="华文中宋" w:hAnsi="华文中宋" w:eastAsia="华文中宋" w:cs="华文中宋"/>
                <w:color w:val="auto"/>
                <w:kern w:val="0"/>
                <w:szCs w:val="21"/>
              </w:rPr>
              <w:t>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个性化培养课程体系以及第二课堂。</w:t>
            </w:r>
          </w:p>
        </w:tc>
      </w:tr>
      <w:tr w14:paraId="336F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13EC12D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2</w:t>
            </w:r>
          </w:p>
        </w:tc>
        <w:tc>
          <w:tcPr>
            <w:tcW w:w="799" w:type="pct"/>
            <w:vAlign w:val="center"/>
          </w:tcPr>
          <w:p w14:paraId="629C8771">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专业性知识</w:t>
            </w:r>
          </w:p>
        </w:tc>
        <w:tc>
          <w:tcPr>
            <w:tcW w:w="1868" w:type="pct"/>
            <w:vAlign w:val="center"/>
          </w:tcPr>
          <w:p w14:paraId="2A04EE1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包括经济学类各专业的基本知识、基本理论和基本技能。</w:t>
            </w:r>
          </w:p>
        </w:tc>
        <w:tc>
          <w:tcPr>
            <w:tcW w:w="3695" w:type="dxa"/>
            <w:vAlign w:val="center"/>
          </w:tcPr>
          <w:p w14:paraId="1A2FB63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学科共同课、专业</w:t>
            </w:r>
            <w:r>
              <w:rPr>
                <w:rFonts w:hint="eastAsia" w:ascii="华文中宋" w:hAnsi="华文中宋" w:eastAsia="华文中宋" w:cs="华文中宋"/>
                <w:color w:val="auto"/>
                <w:kern w:val="0"/>
                <w:szCs w:val="21"/>
                <w:lang w:val="en-US" w:eastAsia="zh-CN"/>
              </w:rPr>
              <w:t>基础</w:t>
            </w:r>
            <w:r>
              <w:rPr>
                <w:rFonts w:hint="eastAsia" w:ascii="华文中宋" w:hAnsi="华文中宋" w:eastAsia="华文中宋" w:cs="华文中宋"/>
                <w:color w:val="auto"/>
                <w:kern w:val="0"/>
                <w:szCs w:val="21"/>
              </w:rPr>
              <w:t>课以及个性化培养课程中的部分课程。</w:t>
            </w:r>
          </w:p>
        </w:tc>
      </w:tr>
      <w:tr w14:paraId="5F27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4511260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3</w:t>
            </w:r>
          </w:p>
        </w:tc>
        <w:tc>
          <w:tcPr>
            <w:tcW w:w="799" w:type="pct"/>
            <w:vAlign w:val="center"/>
          </w:tcPr>
          <w:p w14:paraId="3DEC7AF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工具性知识</w:t>
            </w:r>
          </w:p>
        </w:tc>
        <w:tc>
          <w:tcPr>
            <w:tcW w:w="1868" w:type="pct"/>
            <w:vAlign w:val="center"/>
          </w:tcPr>
          <w:p w14:paraId="3437085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包括数学、外语、计算机及信息技术应用、文献检索、社会调查与研究方法、论文写作。</w:t>
            </w:r>
          </w:p>
        </w:tc>
        <w:tc>
          <w:tcPr>
            <w:tcW w:w="3695" w:type="dxa"/>
            <w:vAlign w:val="center"/>
          </w:tcPr>
          <w:p w14:paraId="3E47AF9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通识教育模块中的人工智能课程模块、外语课程模块</w:t>
            </w:r>
            <w:r>
              <w:rPr>
                <w:rFonts w:hint="eastAsia" w:ascii="华文中宋" w:hAnsi="华文中宋" w:eastAsia="华文中宋" w:cs="华文中宋"/>
                <w:color w:val="auto"/>
                <w:kern w:val="0"/>
                <w:szCs w:val="21"/>
                <w:lang w:val="en-US" w:eastAsia="zh-CN"/>
              </w:rPr>
              <w:t>两</w:t>
            </w:r>
            <w:r>
              <w:rPr>
                <w:rFonts w:hint="eastAsia" w:ascii="华文中宋" w:hAnsi="华文中宋" w:eastAsia="华文中宋" w:cs="华文中宋"/>
                <w:color w:val="auto"/>
                <w:kern w:val="0"/>
                <w:szCs w:val="21"/>
              </w:rPr>
              <w:t>个模块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lang w:val="en-US" w:eastAsia="zh-CN"/>
              </w:rPr>
              <w:t>专业培养模块的数理基础课；</w:t>
            </w:r>
            <w:r>
              <w:rPr>
                <w:rFonts w:hint="eastAsia" w:ascii="华文中宋" w:hAnsi="华文中宋" w:eastAsia="华文中宋" w:cs="华文中宋"/>
                <w:color w:val="auto"/>
                <w:kern w:val="0"/>
                <w:szCs w:val="21"/>
              </w:rPr>
              <w:t>以及个性化培养课程中的部分课程。</w:t>
            </w:r>
          </w:p>
        </w:tc>
      </w:tr>
      <w:tr w14:paraId="49A7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0322940F">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4</w:t>
            </w:r>
          </w:p>
        </w:tc>
        <w:tc>
          <w:tcPr>
            <w:tcW w:w="799" w:type="pct"/>
            <w:vAlign w:val="center"/>
          </w:tcPr>
          <w:p w14:paraId="6096B96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w:t>
            </w:r>
          </w:p>
        </w:tc>
        <w:tc>
          <w:tcPr>
            <w:tcW w:w="1868" w:type="pct"/>
            <w:vAlign w:val="center"/>
          </w:tcPr>
          <w:p w14:paraId="11534F8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和通识课程学分应占总学分的40%左右。思想政治理论课程至少开设以下课程：马克思主义基本原理、毛泽东思想和中国特色社会主义理论体系概论、形式与政策、思想道德修养与法律基础、中国近现代史纲要。</w:t>
            </w:r>
          </w:p>
        </w:tc>
        <w:tc>
          <w:tcPr>
            <w:tcW w:w="3695" w:type="dxa"/>
            <w:vAlign w:val="center"/>
          </w:tcPr>
          <w:p w14:paraId="441DE35A">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思想政治理论课程和通识课程的学分设置符合</w:t>
            </w:r>
            <w:r>
              <w:rPr>
                <w:rFonts w:hint="eastAsia" w:ascii="华文中宋" w:hAnsi="华文中宋" w:eastAsia="华文中宋" w:cs="华文中宋"/>
                <w:color w:val="auto"/>
                <w:kern w:val="0"/>
                <w:szCs w:val="21"/>
                <w:lang w:val="en-US" w:eastAsia="zh-CN"/>
              </w:rPr>
              <w:t>经济学类</w:t>
            </w:r>
            <w:r>
              <w:rPr>
                <w:rFonts w:hint="eastAsia" w:ascii="华文中宋" w:hAnsi="华文中宋" w:eastAsia="华文中宋" w:cs="华文中宋"/>
                <w:color w:val="auto"/>
                <w:kern w:val="0"/>
                <w:szCs w:val="21"/>
              </w:rPr>
              <w:t>教育国家质量标准的要求。开设的思想政治课程包括：中国近现代史纲要、马克思主义基本原理、毛泽东思想和中国特色社会主义理论体系概论、习近平新时代中国特色社会主义思想概论、中国近现代史纲要、思想道德与法治及形势与政策</w:t>
            </w:r>
            <w:r>
              <w:rPr>
                <w:rFonts w:hint="eastAsia" w:ascii="华文中宋" w:hAnsi="华文中宋" w:eastAsia="华文中宋" w:cs="华文中宋"/>
                <w:color w:val="auto"/>
                <w:kern w:val="0"/>
                <w:szCs w:val="21"/>
                <w:lang w:eastAsia="zh-CN"/>
              </w:rPr>
              <w:t>、国家安全教育</w:t>
            </w:r>
            <w:r>
              <w:rPr>
                <w:rFonts w:hint="eastAsia" w:ascii="华文中宋" w:hAnsi="华文中宋" w:eastAsia="华文中宋" w:cs="华文中宋"/>
                <w:color w:val="auto"/>
                <w:kern w:val="0"/>
                <w:szCs w:val="21"/>
              </w:rPr>
              <w:t>等。</w:t>
            </w:r>
          </w:p>
        </w:tc>
      </w:tr>
      <w:tr w14:paraId="606C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4445C0CC">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5</w:t>
            </w:r>
          </w:p>
        </w:tc>
        <w:tc>
          <w:tcPr>
            <w:tcW w:w="799" w:type="pct"/>
            <w:vAlign w:val="center"/>
          </w:tcPr>
          <w:p w14:paraId="43022894">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通识教育</w:t>
            </w:r>
          </w:p>
        </w:tc>
        <w:tc>
          <w:tcPr>
            <w:tcW w:w="1868" w:type="pct"/>
            <w:vAlign w:val="center"/>
          </w:tcPr>
          <w:p w14:paraId="44DB80C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通识课程包括数学、外语、计算机及信息技术应用、体育等必修课程，以及根据学校特色和条件设置的人文艺术、社会科学和自然科学类选修课程。社会科学类选修课程应包括政治学、社会学、法学相关课程。</w:t>
            </w:r>
          </w:p>
        </w:tc>
        <w:tc>
          <w:tcPr>
            <w:tcW w:w="3695" w:type="dxa"/>
            <w:vAlign w:val="center"/>
          </w:tcPr>
          <w:p w14:paraId="33E7D897">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本专业开设了通识教育核心课程、专项教育课程</w:t>
            </w:r>
            <w:r>
              <w:rPr>
                <w:rFonts w:hint="eastAsia" w:ascii="华文中宋" w:hAnsi="华文中宋" w:eastAsia="华文中宋" w:cs="华文中宋"/>
                <w:color w:val="auto"/>
                <w:kern w:val="0"/>
                <w:szCs w:val="21"/>
                <w:lang w:val="en-US" w:eastAsia="zh-CN"/>
              </w:rPr>
              <w:t>两大模块课程。</w:t>
            </w:r>
            <w:r>
              <w:rPr>
                <w:rFonts w:hint="eastAsia" w:ascii="华文中宋" w:hAnsi="华文中宋" w:eastAsia="华文中宋" w:cs="华文中宋"/>
                <w:color w:val="auto"/>
                <w:kern w:val="0"/>
                <w:szCs w:val="21"/>
              </w:rPr>
              <w:t>其中，通识教育核心课程包括思想政治理论课程模块</w:t>
            </w:r>
            <w:r>
              <w:rPr>
                <w:rFonts w:hint="eastAsia" w:ascii="华文中宋" w:hAnsi="华文中宋" w:eastAsia="华文中宋" w:cs="华文中宋"/>
                <w:color w:val="auto"/>
                <w:kern w:val="0"/>
                <w:szCs w:val="21"/>
                <w:lang w:val="en-US" w:eastAsia="zh-CN"/>
              </w:rPr>
              <w:t>和通识限选课程两个</w:t>
            </w:r>
            <w:r>
              <w:rPr>
                <w:rFonts w:hint="eastAsia" w:ascii="华文中宋" w:hAnsi="华文中宋" w:eastAsia="华文中宋" w:cs="华文中宋"/>
                <w:color w:val="auto"/>
                <w:kern w:val="0"/>
                <w:szCs w:val="21"/>
              </w:rPr>
              <w:t>部分；专项教育课程包括外语课程</w:t>
            </w:r>
            <w:r>
              <w:rPr>
                <w:rFonts w:hint="eastAsia" w:ascii="华文中宋" w:hAnsi="华文中宋" w:eastAsia="华文中宋" w:cs="华文中宋"/>
                <w:color w:val="auto"/>
                <w:kern w:val="0"/>
                <w:szCs w:val="21"/>
                <w:lang w:eastAsia="zh-CN"/>
              </w:rPr>
              <w:t>、体育课程、人工智能课程、健康教育、军事课程、通识选修课</w:t>
            </w:r>
            <w:r>
              <w:rPr>
                <w:rFonts w:hint="eastAsia" w:ascii="华文中宋" w:hAnsi="华文中宋" w:eastAsia="华文中宋" w:cs="华文中宋"/>
                <w:color w:val="auto"/>
                <w:kern w:val="0"/>
                <w:szCs w:val="21"/>
                <w:lang w:val="en-US" w:eastAsia="zh-CN"/>
              </w:rPr>
              <w:t>和新生研讨课</w:t>
            </w:r>
            <w:r>
              <w:rPr>
                <w:rFonts w:hint="eastAsia" w:ascii="华文中宋" w:hAnsi="华文中宋" w:eastAsia="华文中宋" w:cs="华文中宋"/>
                <w:color w:val="auto"/>
                <w:kern w:val="0"/>
                <w:szCs w:val="21"/>
              </w:rPr>
              <w:t>七个部分。</w:t>
            </w:r>
          </w:p>
        </w:tc>
      </w:tr>
      <w:tr w14:paraId="53A4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4A63197B">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6</w:t>
            </w:r>
          </w:p>
        </w:tc>
        <w:tc>
          <w:tcPr>
            <w:tcW w:w="799" w:type="pct"/>
            <w:vAlign w:val="center"/>
          </w:tcPr>
          <w:p w14:paraId="56D5562E">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专业基础</w:t>
            </w:r>
          </w:p>
        </w:tc>
        <w:tc>
          <w:tcPr>
            <w:tcW w:w="1868" w:type="pct"/>
            <w:vAlign w:val="center"/>
          </w:tcPr>
          <w:p w14:paraId="5157FC06">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专业基础课应包括政治经济学、微观经济学、宏观经济学、统计学、财政学、金融学和国际经济学等相关课程。各高校可在此基础上根据实际情况安排其他课程。</w:t>
            </w:r>
          </w:p>
        </w:tc>
        <w:tc>
          <w:tcPr>
            <w:tcW w:w="1950" w:type="pct"/>
            <w:vAlign w:val="center"/>
          </w:tcPr>
          <w:p w14:paraId="376C5FCD">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微观经济学、宏观经济学、政治经济学、财政学、习近平经济思想概论</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财政学</w:t>
            </w:r>
            <w:r>
              <w:rPr>
                <w:rFonts w:hint="eastAsia" w:ascii="华文中宋" w:hAnsi="华文中宋" w:eastAsia="华文中宋" w:cs="华文中宋"/>
                <w:color w:val="auto"/>
                <w:kern w:val="0"/>
                <w:szCs w:val="21"/>
                <w:lang w:val="en-US" w:eastAsia="zh-CN"/>
              </w:rPr>
              <w:t>等</w:t>
            </w:r>
            <w:r>
              <w:rPr>
                <w:rFonts w:hint="eastAsia" w:ascii="华文中宋" w:hAnsi="华文中宋" w:eastAsia="华文中宋" w:cs="华文中宋"/>
                <w:color w:val="auto"/>
                <w:kern w:val="0"/>
                <w:szCs w:val="21"/>
              </w:rPr>
              <w:t>。</w:t>
            </w:r>
          </w:p>
        </w:tc>
      </w:tr>
      <w:tr w14:paraId="7B29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575420EF">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7</w:t>
            </w:r>
          </w:p>
        </w:tc>
        <w:tc>
          <w:tcPr>
            <w:tcW w:w="799" w:type="pct"/>
            <w:vAlign w:val="center"/>
          </w:tcPr>
          <w:p w14:paraId="5180553A">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专业必修</w:t>
            </w:r>
          </w:p>
        </w:tc>
        <w:tc>
          <w:tcPr>
            <w:tcW w:w="1868" w:type="pct"/>
            <w:vAlign w:val="center"/>
          </w:tcPr>
          <w:p w14:paraId="43527B3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经济学类专业必修的课程为“5+X”模式，本科学生必须完成5门专业必修课，各院校可以根据办学特色为学生安排其他专业必修课。</w:t>
            </w:r>
          </w:p>
        </w:tc>
        <w:tc>
          <w:tcPr>
            <w:tcW w:w="1950" w:type="pct"/>
            <w:vAlign w:val="center"/>
          </w:tcPr>
          <w:p w14:paraId="62578D6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lang w:val="en-US" w:eastAsia="zh-CN"/>
              </w:rPr>
            </w:pPr>
            <w:r>
              <w:rPr>
                <w:rFonts w:hint="eastAsia" w:ascii="华文中宋" w:hAnsi="华文中宋" w:eastAsia="华文中宋" w:cs="华文中宋"/>
                <w:color w:val="auto"/>
                <w:kern w:val="0"/>
                <w:szCs w:val="21"/>
              </w:rPr>
              <w:t>国民经济核算</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计量经济学</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金融风险管理</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数值计算与模拟</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多元统计分析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回归分析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时间序列分析</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优化理论与方法</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数量金融</w:t>
            </w:r>
            <w:r>
              <w:rPr>
                <w:rFonts w:hint="eastAsia" w:ascii="华文中宋" w:hAnsi="华文中宋" w:eastAsia="华文中宋" w:cs="华文中宋"/>
                <w:color w:val="auto"/>
                <w:kern w:val="0"/>
                <w:szCs w:val="21"/>
                <w:lang w:eastAsia="zh-CN"/>
              </w:rPr>
              <w:t>、</w:t>
            </w:r>
            <w:r>
              <w:rPr>
                <w:rFonts w:hint="eastAsia" w:ascii="华文中宋" w:hAnsi="华文中宋" w:eastAsia="华文中宋" w:cs="华文中宋"/>
                <w:color w:val="auto"/>
                <w:kern w:val="0"/>
                <w:szCs w:val="21"/>
              </w:rPr>
              <w:t>机器学习</w:t>
            </w:r>
            <w:r>
              <w:rPr>
                <w:rFonts w:hint="eastAsia" w:ascii="华文中宋" w:hAnsi="华文中宋" w:eastAsia="华文中宋" w:cs="华文中宋"/>
                <w:color w:val="auto"/>
                <w:kern w:val="0"/>
                <w:szCs w:val="21"/>
                <w:lang w:val="en-US" w:eastAsia="zh-CN"/>
              </w:rPr>
              <w:t>等。</w:t>
            </w:r>
          </w:p>
        </w:tc>
      </w:tr>
      <w:tr w14:paraId="64FD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 w:type="pct"/>
            <w:vAlign w:val="center"/>
          </w:tcPr>
          <w:p w14:paraId="08F24885">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8</w:t>
            </w:r>
          </w:p>
        </w:tc>
        <w:tc>
          <w:tcPr>
            <w:tcW w:w="799" w:type="pct"/>
            <w:vAlign w:val="center"/>
          </w:tcPr>
          <w:p w14:paraId="51D4C63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jc w:val="center"/>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w:t>
            </w:r>
          </w:p>
        </w:tc>
        <w:tc>
          <w:tcPr>
            <w:tcW w:w="1868" w:type="pct"/>
            <w:vAlign w:val="center"/>
          </w:tcPr>
          <w:p w14:paraId="6AC448A0">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课应当与专业必修课形成逻辑上的拓展与延续关系，并形成课程模块（课程组）供学生选择性修读。各专业可以自主设置专业选修课程体系。鼓励有条件的高校开设双语或全英文专业课程、政府统计和金融风险测度类课程。</w:t>
            </w:r>
          </w:p>
        </w:tc>
        <w:tc>
          <w:tcPr>
            <w:tcW w:w="1950" w:type="pct"/>
            <w:vAlign w:val="center"/>
          </w:tcPr>
          <w:p w14:paraId="1298AAE2">
            <w:pPr>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专业选修课围绕金融风险和政府统计两个方向设置，包括金融建模、商务统计建模</w:t>
            </w:r>
            <w:r>
              <w:rPr>
                <w:rFonts w:hint="eastAsia" w:ascii="华文中宋" w:hAnsi="华文中宋" w:eastAsia="华文中宋" w:cs="华文中宋"/>
                <w:color w:val="auto"/>
                <w:kern w:val="0"/>
                <w:szCs w:val="21"/>
                <w:highlight w:val="none"/>
              </w:rPr>
              <w:t>与</w:t>
            </w:r>
            <w:r>
              <w:rPr>
                <w:rFonts w:hint="eastAsia" w:ascii="华文中宋" w:hAnsi="华文中宋" w:eastAsia="华文中宋" w:cs="华文中宋"/>
                <w:color w:val="auto"/>
                <w:kern w:val="0"/>
                <w:szCs w:val="21"/>
                <w:highlight w:val="none"/>
                <w:lang w:val="en-US" w:eastAsia="zh-CN"/>
              </w:rPr>
              <w:t>决策</w:t>
            </w:r>
            <w:r>
              <w:rPr>
                <w:rFonts w:hint="eastAsia" w:ascii="华文中宋" w:hAnsi="华文中宋" w:eastAsia="华文中宋" w:cs="华文中宋"/>
                <w:color w:val="auto"/>
                <w:kern w:val="0"/>
                <w:szCs w:val="21"/>
              </w:rPr>
              <w:t>、非参数统计、统计思想、统计预测与决策、金融统计学、金融优化、数据分析与可视化、文本挖掘</w:t>
            </w:r>
            <w:r>
              <w:rPr>
                <w:rFonts w:hint="eastAsia" w:ascii="华文中宋" w:hAnsi="华文中宋" w:eastAsia="华文中宋" w:cs="华文中宋"/>
                <w:color w:val="auto"/>
                <w:kern w:val="0"/>
                <w:szCs w:val="21"/>
                <w:lang w:val="en-US" w:eastAsia="zh-CN"/>
              </w:rPr>
              <w:t>技术</w:t>
            </w:r>
            <w:r>
              <w:rPr>
                <w:rFonts w:hint="eastAsia" w:ascii="华文中宋" w:hAnsi="华文中宋" w:eastAsia="华文中宋" w:cs="华文中宋"/>
                <w:color w:val="auto"/>
                <w:kern w:val="0"/>
                <w:szCs w:val="21"/>
              </w:rPr>
              <w:t>、抽样技术、生存分析、深度学习等。</w:t>
            </w:r>
          </w:p>
        </w:tc>
      </w:tr>
    </w:tbl>
    <w:p w14:paraId="71A1727C">
      <w:pPr>
        <w:pageBreakBefore w:val="0"/>
        <w:widowControl/>
        <w:kinsoku/>
        <w:wordWrap/>
        <w:overflowPunct/>
        <w:topLinePunct w:val="0"/>
        <w:autoSpaceDE/>
        <w:autoSpaceDN/>
        <w:bidi w:val="0"/>
        <w:adjustRightInd/>
        <w:snapToGrid/>
        <w:jc w:val="left"/>
        <w:outlineLvl w:val="9"/>
        <w:rPr>
          <w:rFonts w:hint="eastAsia" w:ascii="宋体" w:hAnsi="宋体" w:eastAsia="宋体"/>
          <w:color w:val="auto"/>
          <w:szCs w:val="21"/>
        </w:rPr>
      </w:pPr>
    </w:p>
    <w:p w14:paraId="719FB851">
      <w:pPr>
        <w:pageBreakBefore w:val="0"/>
        <w:widowControl/>
        <w:kinsoku/>
        <w:wordWrap/>
        <w:overflowPunct/>
        <w:topLinePunct w:val="0"/>
        <w:autoSpaceDE/>
        <w:autoSpaceDN/>
        <w:bidi w:val="0"/>
        <w:adjustRightInd/>
        <w:snapToGrid/>
        <w:jc w:val="left"/>
        <w:outlineLvl w:val="9"/>
        <w:rPr>
          <w:rFonts w:hint="eastAsia" w:ascii="宋体" w:hAnsi="宋体" w:eastAsia="宋体"/>
          <w:color w:val="auto"/>
          <w:szCs w:val="21"/>
        </w:rPr>
      </w:pPr>
    </w:p>
    <w:p w14:paraId="16DDAB11">
      <w:pPr>
        <w:pStyle w:val="20"/>
        <w:pageBreakBefore w:val="0"/>
        <w:widowControl/>
        <w:kinsoku/>
        <w:wordWrap/>
        <w:overflowPunct/>
        <w:topLinePunct w:val="0"/>
        <w:autoSpaceDE/>
        <w:autoSpaceDN/>
        <w:bidi w:val="0"/>
        <w:adjustRightInd/>
        <w:snapToGrid/>
        <w:ind w:left="360" w:firstLine="0" w:firstLineChars="0"/>
        <w:jc w:val="left"/>
        <w:outlineLvl w:val="9"/>
        <w:rPr>
          <w:rFonts w:hint="eastAsia" w:ascii="宋体" w:hAnsi="宋体" w:eastAsia="宋体"/>
          <w:i/>
          <w:color w:val="auto"/>
          <w:szCs w:val="21"/>
        </w:rPr>
      </w:pPr>
      <w:r>
        <w:rPr>
          <w:rFonts w:hint="eastAsia" w:asciiTheme="minorHAnsi" w:hAnsiTheme="minorHAnsi" w:eastAsiaTheme="minorEastAsia" w:cstheme="minorBidi"/>
          <w:b/>
          <w:bCs/>
          <w:color w:val="auto"/>
          <w:szCs w:val="21"/>
        </w:rPr>
        <w:t>III</w:t>
      </w:r>
      <w:r>
        <w:rPr>
          <w:rFonts w:asciiTheme="minorHAnsi" w:hAnsiTheme="minorHAnsi" w:eastAsiaTheme="minorEastAsia" w:cstheme="minorBidi"/>
          <w:b/>
          <w:bCs/>
          <w:color w:val="auto"/>
          <w:szCs w:val="21"/>
        </w:rPr>
        <w:t>、</w:t>
      </w:r>
      <w:r>
        <w:rPr>
          <w:rFonts w:hint="eastAsia" w:asciiTheme="minorHAnsi" w:hAnsiTheme="minorHAnsi" w:eastAsiaTheme="minorEastAsia" w:cstheme="minorBidi"/>
          <w:b/>
          <w:bCs/>
          <w:color w:val="auto"/>
          <w:szCs w:val="21"/>
        </w:rPr>
        <w:t>课程关系图或课程先修关系表。</w:t>
      </w:r>
    </w:p>
    <w:p w14:paraId="653F8839">
      <w:pPr>
        <w:pageBreakBefore w:val="0"/>
        <w:widowControl/>
        <w:kinsoku/>
        <w:wordWrap/>
        <w:overflowPunct/>
        <w:topLinePunct w:val="0"/>
        <w:autoSpaceDE/>
        <w:autoSpaceDN/>
        <w:bidi w:val="0"/>
        <w:adjustRightInd/>
        <w:snapToGrid/>
        <w:jc w:val="left"/>
        <w:outlineLvl w:val="9"/>
        <w:rPr>
          <w:rFonts w:hint="eastAsia" w:ascii="宋体" w:hAnsi="宋体" w:eastAsia="宋体" w:cs="宋体"/>
          <w:color w:val="auto"/>
          <w:sz w:val="24"/>
        </w:rPr>
      </w:pPr>
      <w:r>
        <w:rPr>
          <w:rFonts w:ascii="宋体" w:hAnsi="宋体" w:eastAsia="宋体" w:cs="宋体"/>
          <w:sz w:val="24"/>
          <w:szCs w:val="24"/>
        </w:rPr>
        <w:drawing>
          <wp:inline distT="0" distB="0" distL="114300" distR="114300">
            <wp:extent cx="5203190" cy="4113530"/>
            <wp:effectExtent l="0" t="0" r="8890" b="12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5203190" cy="4113530"/>
                    </a:xfrm>
                    <a:prstGeom prst="rect">
                      <a:avLst/>
                    </a:prstGeom>
                    <a:noFill/>
                    <a:ln w="9525">
                      <a:noFill/>
                    </a:ln>
                  </pic:spPr>
                </pic:pic>
              </a:graphicData>
            </a:graphic>
          </wp:inline>
        </w:drawing>
      </w:r>
    </w:p>
    <w:p w14:paraId="5159E44C">
      <w:pPr>
        <w:pageBreakBefore w:val="0"/>
        <w:widowControl/>
        <w:kinsoku/>
        <w:wordWrap/>
        <w:overflowPunct/>
        <w:topLinePunct w:val="0"/>
        <w:autoSpaceDE/>
        <w:autoSpaceDN/>
        <w:bidi w:val="0"/>
        <w:adjustRightInd/>
        <w:snapToGrid/>
        <w:jc w:val="left"/>
        <w:outlineLvl w:val="9"/>
        <w:rPr>
          <w:rFonts w:hint="eastAsia" w:ascii="宋体" w:hAnsi="宋体" w:eastAsia="宋体"/>
          <w:i/>
          <w:color w:val="auto"/>
          <w:szCs w:val="21"/>
        </w:rPr>
      </w:pPr>
    </w:p>
    <w:p w14:paraId="00981F8A">
      <w:pPr>
        <w:pageBreakBefore w:val="0"/>
        <w:widowControl/>
        <w:kinsoku/>
        <w:wordWrap/>
        <w:overflowPunct/>
        <w:topLinePunct w:val="0"/>
        <w:autoSpaceDE/>
        <w:autoSpaceDN/>
        <w:bidi w:val="0"/>
        <w:adjustRightInd/>
        <w:snapToGrid/>
        <w:jc w:val="center"/>
        <w:outlineLvl w:val="9"/>
        <w:rPr>
          <w:rFonts w:hint="eastAsia" w:ascii="宋体" w:hAnsi="宋体" w:eastAsia="宋体"/>
          <w:i/>
          <w:color w:val="auto"/>
          <w:szCs w:val="21"/>
        </w:rPr>
      </w:pPr>
    </w:p>
    <w:p w14:paraId="66FEA222">
      <w:pPr>
        <w:pageBreakBefore w:val="0"/>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ascii="宋体" w:hAnsi="宋体" w:eastAsia="宋体" w:cs="宋体"/>
          <w:sz w:val="24"/>
          <w:szCs w:val="24"/>
        </w:rPr>
        <w:drawing>
          <wp:inline distT="0" distB="0" distL="114300" distR="114300">
            <wp:extent cx="5192395" cy="6903720"/>
            <wp:effectExtent l="0" t="0" r="4445" b="0"/>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7"/>
                    <a:stretch>
                      <a:fillRect/>
                    </a:stretch>
                  </pic:blipFill>
                  <pic:spPr>
                    <a:xfrm>
                      <a:off x="0" y="0"/>
                      <a:ext cx="5192395" cy="6903720"/>
                    </a:xfrm>
                    <a:prstGeom prst="rect">
                      <a:avLst/>
                    </a:prstGeom>
                    <a:noFill/>
                    <a:ln w="9525">
                      <a:noFill/>
                    </a:ln>
                  </pic:spPr>
                </pic:pic>
              </a:graphicData>
            </a:graphic>
          </wp:inline>
        </w:drawing>
      </w:r>
    </w:p>
    <w:p w14:paraId="519EEA9D">
      <w:pPr>
        <w:pageBreakBefore w:val="0"/>
        <w:kinsoku/>
        <w:wordWrap/>
        <w:overflowPunct/>
        <w:topLinePunct w:val="0"/>
        <w:autoSpaceDE/>
        <w:autoSpaceDN/>
        <w:bidi w:val="0"/>
        <w:adjustRightInd/>
        <w:snapToGrid/>
        <w:outlineLvl w:val="9"/>
        <w:rPr>
          <w:rFonts w:hint="eastAsia" w:ascii="宋体" w:hAnsi="宋体" w:eastAsia="宋体"/>
          <w:b/>
          <w:color w:val="auto"/>
          <w:szCs w:val="21"/>
        </w:rPr>
      </w:pPr>
    </w:p>
    <w:p w14:paraId="589B5C6E">
      <w:pPr>
        <w:pageBreakBefore w:val="0"/>
        <w:kinsoku/>
        <w:wordWrap/>
        <w:overflowPunct/>
        <w:topLinePunct w:val="0"/>
        <w:autoSpaceDE/>
        <w:autoSpaceDN/>
        <w:bidi w:val="0"/>
        <w:adjustRightInd/>
        <w:snapToGrid/>
        <w:outlineLvl w:val="9"/>
        <w:rPr>
          <w:rFonts w:hint="eastAsia" w:ascii="宋体" w:hAnsi="宋体" w:eastAsia="宋体"/>
          <w:b/>
          <w:color w:val="auto"/>
          <w:szCs w:val="21"/>
        </w:rPr>
      </w:pPr>
    </w:p>
    <w:p w14:paraId="5B35C82B">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毕业</w:t>
      </w:r>
      <w:r>
        <w:rPr>
          <w:rFonts w:ascii="宋体" w:hAnsi="宋体" w:eastAsia="宋体"/>
          <w:color w:val="auto"/>
          <w:sz w:val="21"/>
          <w:szCs w:val="21"/>
        </w:rPr>
        <w:t>论文（</w:t>
      </w:r>
      <w:r>
        <w:rPr>
          <w:rFonts w:hint="eastAsia" w:ascii="宋体" w:hAnsi="宋体" w:eastAsia="宋体"/>
          <w:color w:val="auto"/>
          <w:sz w:val="21"/>
          <w:szCs w:val="21"/>
        </w:rPr>
        <w:t>设计</w:t>
      </w:r>
      <w:r>
        <w:rPr>
          <w:rFonts w:ascii="宋体" w:hAnsi="宋体" w:eastAsia="宋体"/>
          <w:color w:val="auto"/>
          <w:sz w:val="21"/>
          <w:szCs w:val="21"/>
        </w:rPr>
        <w:t>）</w:t>
      </w:r>
    </w:p>
    <w:p w14:paraId="59723889">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毕业论文是经济统计学本科学生在掌握本门学科的基础理论、专门知识和基本技能的基础上，进行科学研究工作的训练，培养独立工作能力，全面提高教学质量的重要环节。第八学期学生必须在老师指导下独立完成毕业论文的写作。具体要求见《上海财经大学本科学生毕业论文（设计）工作的规定》。</w:t>
      </w:r>
      <w:bookmarkStart w:id="4" w:name="_GoBack"/>
    </w:p>
    <w:bookmarkEnd w:id="4"/>
    <w:p w14:paraId="0DEFCDD8">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成绩考核</w:t>
      </w:r>
    </w:p>
    <w:p w14:paraId="13DBC0B0">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lang w:val="zh-CN"/>
        </w:rPr>
      </w:pPr>
      <w:r>
        <w:rPr>
          <w:rFonts w:hint="eastAsia" w:ascii="华文中宋" w:hAnsi="华文中宋" w:eastAsia="华文中宋" w:cs="华文中宋"/>
          <w:color w:val="auto"/>
          <w:kern w:val="0"/>
          <w:szCs w:val="21"/>
        </w:rPr>
        <w:t>本专业为巩固学生所学知识，检查教学效果，保证教学质量，严格执行考核制度。考核合格，给予相应的成绩。各门课程分别记载学分、成绩与绩点。具体规定详见《上海财经大学本科学生学籍管理实施细则》和《上海财经大学</w:t>
      </w:r>
      <w:r>
        <w:rPr>
          <w:rFonts w:hint="eastAsia" w:ascii="华文中宋" w:hAnsi="华文中宋" w:eastAsia="华文中宋" w:cs="华文中宋"/>
          <w:color w:val="auto"/>
          <w:kern w:val="0"/>
          <w:szCs w:val="21"/>
          <w:lang w:val="en-US" w:eastAsia="zh-CN"/>
        </w:rPr>
        <w:t>本科</w:t>
      </w:r>
      <w:r>
        <w:rPr>
          <w:rFonts w:hint="eastAsia" w:ascii="华文中宋" w:hAnsi="华文中宋" w:eastAsia="华文中宋" w:cs="华文中宋"/>
          <w:color w:val="auto"/>
          <w:kern w:val="0"/>
          <w:szCs w:val="21"/>
        </w:rPr>
        <w:t>学生课程考核管理办法》。</w:t>
      </w:r>
    </w:p>
    <w:p w14:paraId="707BEB2A">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科学研究</w:t>
      </w:r>
    </w:p>
    <w:p w14:paraId="6D69EC83">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为使学生逐步掌握科学研究的基本方法，提高学生的科学研究能力，培养和提高学生认识问题、分析问题和解决问题的能力，引导和组织学生参加学术探讨和科学研究，积极鼓励学生参与社会和经济领域的学术活动，提倡学生结合课程教学、社会实践等开展科研活动。对科研成绩优秀的学生，将在优秀学生、奖学金等的评定中给予优先考虑，对成绩显著者，将另行给予奖励。</w:t>
      </w:r>
    </w:p>
    <w:p w14:paraId="13A35CD2">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同时，本专业方向注重加强实验室、实习实训基地、实践教学共享平台建设，积极构建多层次实践课程体系。让学生通过参加社会实践活动、团学联与社团活动、学术报告与讲座、创新创业训练项目等第二课堂活动，增强对专业理论知识的理解和应用。同时，本专业学生还要参加8周的社会实习以进一步提升社会实践能力，在此基础之上学生可总结在校期间的学习成果，综合性、创造性地运用所学知识和技能撰写毕业论文。</w:t>
      </w:r>
    </w:p>
    <w:p w14:paraId="7D2CA83F">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为提高学生的实际操作能力和工作能力，培养学生的综合素质，本专业方向的学生需修满147学分后方可毕业。其中课堂教学环节125学分，本专业学生在校期间需完成14个学分的第二课堂学习，内容包括军训、体育锻炼、双创训练和实践教育；鼓励学生结合所学专业知识，自主开展各类实习、社会实践和社会调查活动，毕业实习环节需完成4个学分。第二课堂、毕业实习与毕业论文环节合计占到总学分的14.97%。</w:t>
      </w:r>
    </w:p>
    <w:p w14:paraId="353F6F6D">
      <w:pPr>
        <w:pageBreakBefore w:val="0"/>
        <w:widowControl/>
        <w:kinsoku/>
        <w:wordWrap/>
        <w:overflowPunct/>
        <w:topLinePunct w:val="0"/>
        <w:autoSpaceDE/>
        <w:autoSpaceDN/>
        <w:bidi w:val="0"/>
        <w:adjustRightInd/>
        <w:snapToGrid/>
        <w:jc w:val="left"/>
        <w:outlineLvl w:val="9"/>
        <w:rPr>
          <w:rFonts w:hint="eastAsia" w:asciiTheme="minorEastAsia" w:hAnsiTheme="minorEastAsia"/>
          <w:i/>
          <w:color w:val="auto"/>
          <w:szCs w:val="21"/>
        </w:rPr>
      </w:pPr>
    </w:p>
    <w:p w14:paraId="5DA269DC">
      <w:pPr>
        <w:pageBreakBefore w:val="0"/>
        <w:numPr>
          <w:ilvl w:val="0"/>
          <w:numId w:val="1"/>
        </w:numPr>
        <w:kinsoku/>
        <w:wordWrap/>
        <w:overflowPunct/>
        <w:topLinePunct w:val="0"/>
        <w:autoSpaceDE/>
        <w:autoSpaceDN/>
        <w:bidi w:val="0"/>
        <w:adjustRightInd/>
        <w:snapToGrid/>
        <w:spacing w:before="0" w:after="0"/>
        <w:jc w:val="left"/>
        <w:outlineLvl w:val="9"/>
        <w:rPr>
          <w:rFonts w:hint="eastAsia" w:ascii="宋体" w:hAnsi="宋体" w:eastAsia="宋体"/>
          <w:color w:val="auto"/>
          <w:sz w:val="21"/>
          <w:szCs w:val="21"/>
        </w:rPr>
      </w:pPr>
      <w:r>
        <w:rPr>
          <w:rFonts w:hint="eastAsia" w:ascii="宋体" w:hAnsi="宋体" w:eastAsia="宋体"/>
          <w:color w:val="auto"/>
          <w:sz w:val="21"/>
          <w:szCs w:val="21"/>
        </w:rPr>
        <w:t>学制与学位</w:t>
      </w:r>
    </w:p>
    <w:p w14:paraId="0C11FAAD">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教育实行四学年的基本学制，并实行弹性学制。凡按教学计划和有关规定，提前学完全部课程，取得相应的学分，符合毕业条件者，允许提前毕业，或辅修另一专业的主干课程。学生在符合有关规定的条件下，可延长在校学习期限，但最长不得超过两年延长期。具体规定详见《上海财经大学本科学生学籍管理实施细则》、《上海财经大学本科辅修专业、辅修学位教育</w:t>
      </w:r>
      <w:r>
        <w:rPr>
          <w:rFonts w:hint="eastAsia" w:ascii="华文中宋" w:hAnsi="华文中宋" w:eastAsia="华文中宋" w:cs="华文中宋"/>
          <w:color w:val="auto"/>
          <w:kern w:val="0"/>
          <w:szCs w:val="21"/>
          <w:lang w:val="en-US" w:eastAsia="zh-CN"/>
        </w:rPr>
        <w:t>管理</w:t>
      </w:r>
      <w:r>
        <w:rPr>
          <w:rFonts w:hint="eastAsia" w:ascii="华文中宋" w:hAnsi="华文中宋" w:eastAsia="华文中宋" w:cs="华文中宋"/>
          <w:color w:val="auto"/>
          <w:kern w:val="0"/>
          <w:szCs w:val="21"/>
        </w:rPr>
        <w:t>办法》等。</w:t>
      </w:r>
    </w:p>
    <w:p w14:paraId="28CA8548">
      <w:pPr>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ind w:firstLine="420" w:firstLineChars="200"/>
        <w:jc w:val="left"/>
        <w:outlineLvl w:val="9"/>
        <w:rPr>
          <w:rFonts w:hint="eastAsia" w:ascii="华文中宋" w:hAnsi="华文中宋" w:eastAsia="华文中宋" w:cs="华文中宋"/>
          <w:color w:val="auto"/>
          <w:kern w:val="0"/>
          <w:szCs w:val="21"/>
        </w:rPr>
      </w:pPr>
      <w:r>
        <w:rPr>
          <w:rFonts w:hint="eastAsia" w:ascii="华文中宋" w:hAnsi="华文中宋" w:eastAsia="华文中宋" w:cs="华文中宋"/>
          <w:color w:val="auto"/>
          <w:kern w:val="0"/>
          <w:szCs w:val="21"/>
        </w:rPr>
        <w:t>本专业学生在规定的时间内完成培养方案规定的全部课程和学习任务，获得相应的学分，准予毕业并发给毕业证书。毕业生符合《中华人民共和国学位</w:t>
      </w:r>
      <w:r>
        <w:rPr>
          <w:rFonts w:hint="eastAsia" w:ascii="华文中宋" w:hAnsi="华文中宋" w:eastAsia="华文中宋" w:cs="华文中宋"/>
          <w:color w:val="auto"/>
          <w:kern w:val="0"/>
          <w:szCs w:val="21"/>
          <w:lang w:val="en-US" w:eastAsia="zh-CN"/>
        </w:rPr>
        <w:t>法</w:t>
      </w:r>
      <w:r>
        <w:rPr>
          <w:rFonts w:hint="eastAsia" w:ascii="华文中宋" w:hAnsi="华文中宋" w:eastAsia="华文中宋" w:cs="华文中宋"/>
          <w:color w:val="auto"/>
          <w:kern w:val="0"/>
          <w:szCs w:val="21"/>
        </w:rPr>
        <w:t>》和学校的有关规定者，经学校学位委员会审查通过，授予经济学学士学位。</w:t>
      </w:r>
    </w:p>
    <w:p w14:paraId="7C67EB1A">
      <w:pPr>
        <w:pageBreakBefore w:val="0"/>
        <w:kinsoku/>
        <w:wordWrap/>
        <w:overflowPunct/>
        <w:topLinePunct w:val="0"/>
        <w:autoSpaceDE/>
        <w:autoSpaceDN/>
        <w:bidi w:val="0"/>
        <w:adjustRightInd/>
        <w:snapToGrid/>
        <w:spacing w:before="156" w:beforeLines="50" w:after="156" w:afterLines="50"/>
        <w:outlineLvl w:val="9"/>
        <w:rPr>
          <w:rFonts w:hint="eastAsia" w:asciiTheme="minorEastAsia" w:hAnsiTheme="minorEastAsia"/>
          <w:i/>
          <w:color w:val="auto"/>
          <w:szCs w:val="21"/>
        </w:rPr>
      </w:pPr>
    </w:p>
    <w:p w14:paraId="023A5431">
      <w:pPr>
        <w:pageBreakBefore w:val="0"/>
        <w:kinsoku/>
        <w:wordWrap/>
        <w:overflowPunct/>
        <w:topLinePunct w:val="0"/>
        <w:autoSpaceDE/>
        <w:autoSpaceDN/>
        <w:bidi w:val="0"/>
        <w:adjustRightInd/>
        <w:snapToGrid/>
        <w:outlineLvl w:val="9"/>
        <w:rPr>
          <w:color w:val="auto"/>
          <w:szCs w:val="21"/>
        </w:rPr>
        <w:sectPr>
          <w:footerReference r:id="rId3" w:type="default"/>
          <w:pgSz w:w="11906" w:h="16838"/>
          <w:pgMar w:top="1440" w:right="1800" w:bottom="1440" w:left="1800" w:header="851" w:footer="992" w:gutter="0"/>
          <w:cols w:space="425" w:num="1"/>
          <w:docGrid w:type="lines" w:linePitch="312" w:charSpace="0"/>
        </w:sectPr>
      </w:pPr>
    </w:p>
    <w:p w14:paraId="028FA1E6">
      <w:pPr>
        <w:pStyle w:val="3"/>
        <w:bidi w:val="0"/>
      </w:pPr>
      <w:r>
        <w:rPr>
          <w:rFonts w:hint="eastAsia"/>
        </w:rPr>
        <w:t>统计与数据科学学院经济统计学专业金融统计与风险管理方向2025级本科生修读建议</w:t>
      </w:r>
    </w:p>
    <w:tbl>
      <w:tblPr>
        <w:tblStyle w:val="17"/>
        <w:tblW w:w="10548" w:type="dxa"/>
        <w:jc w:val="center"/>
        <w:tblLayout w:type="fixed"/>
        <w:tblCellMar>
          <w:top w:w="0" w:type="dxa"/>
          <w:left w:w="108" w:type="dxa"/>
          <w:bottom w:w="0" w:type="dxa"/>
          <w:right w:w="108" w:type="dxa"/>
        </w:tblCellMar>
      </w:tblPr>
      <w:tblGrid>
        <w:gridCol w:w="368"/>
        <w:gridCol w:w="432"/>
        <w:gridCol w:w="1404"/>
        <w:gridCol w:w="864"/>
        <w:gridCol w:w="2282"/>
        <w:gridCol w:w="672"/>
        <w:gridCol w:w="706"/>
        <w:gridCol w:w="1620"/>
        <w:gridCol w:w="434"/>
        <w:gridCol w:w="1766"/>
      </w:tblGrid>
      <w:tr w14:paraId="0363422A">
        <w:tblPrEx>
          <w:tblCellMar>
            <w:top w:w="0" w:type="dxa"/>
            <w:left w:w="108" w:type="dxa"/>
            <w:bottom w:w="0" w:type="dxa"/>
            <w:right w:w="108" w:type="dxa"/>
          </w:tblCellMar>
        </w:tblPrEx>
        <w:trPr>
          <w:trHeight w:val="631" w:hRule="atLeast"/>
          <w:jc w:val="center"/>
        </w:trPr>
        <w:tc>
          <w:tcPr>
            <w:tcW w:w="2204" w:type="dxa"/>
            <w:gridSpan w:val="3"/>
            <w:tcBorders>
              <w:top w:val="single" w:color="000000" w:sz="4" w:space="0"/>
              <w:left w:val="single" w:color="000000" w:sz="4" w:space="0"/>
              <w:bottom w:val="single" w:color="000000" w:sz="4" w:space="0"/>
              <w:right w:val="single" w:color="000000" w:sz="4" w:space="0"/>
            </w:tcBorders>
            <w:shd w:val="clear" w:color="auto" w:fill="C7DBFF"/>
            <w:vAlign w:val="center"/>
          </w:tcPr>
          <w:p w14:paraId="5C12BF7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分类</w:t>
            </w:r>
          </w:p>
        </w:tc>
        <w:tc>
          <w:tcPr>
            <w:tcW w:w="864"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5649534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课程代码</w:t>
            </w:r>
          </w:p>
        </w:tc>
        <w:tc>
          <w:tcPr>
            <w:tcW w:w="228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560D03C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课程名称</w:t>
            </w:r>
          </w:p>
        </w:tc>
        <w:tc>
          <w:tcPr>
            <w:tcW w:w="672"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4C5748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学分</w:t>
            </w:r>
          </w:p>
        </w:tc>
        <w:tc>
          <w:tcPr>
            <w:tcW w:w="706"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4B7CBB3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建议修读学期</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C7DBFF"/>
            <w:vAlign w:val="center"/>
          </w:tcPr>
          <w:p w14:paraId="0B26E44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开课院系</w:t>
            </w:r>
          </w:p>
        </w:tc>
        <w:tc>
          <w:tcPr>
            <w:tcW w:w="1766" w:type="dxa"/>
            <w:tcBorders>
              <w:top w:val="single" w:color="000000" w:sz="4" w:space="0"/>
              <w:left w:val="single" w:color="000000" w:sz="4" w:space="0"/>
              <w:bottom w:val="single" w:color="000000" w:sz="4" w:space="0"/>
              <w:right w:val="single" w:color="000000" w:sz="4" w:space="0"/>
            </w:tcBorders>
            <w:shd w:val="clear" w:color="auto" w:fill="C7DBFF"/>
            <w:vAlign w:val="center"/>
          </w:tcPr>
          <w:p w14:paraId="6E10539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6"/>
                <w:szCs w:val="16"/>
              </w:rPr>
            </w:pPr>
            <w:r>
              <w:rPr>
                <w:rFonts w:hint="eastAsia" w:ascii="微软雅黑" w:hAnsi="微软雅黑" w:cs="微软雅黑"/>
                <w:color w:val="auto"/>
                <w:kern w:val="0"/>
                <w:sz w:val="16"/>
                <w:szCs w:val="16"/>
                <w:lang w:bidi="ar"/>
              </w:rPr>
              <w:t>备注</w:t>
            </w:r>
          </w:p>
        </w:tc>
      </w:tr>
      <w:tr w14:paraId="196B4B14">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1EE003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22"/>
                <w:szCs w:val="22"/>
              </w:rPr>
            </w:pPr>
            <w:r>
              <w:rPr>
                <w:rFonts w:hint="eastAsia" w:ascii="微软雅黑" w:hAnsi="微软雅黑" w:cs="微软雅黑"/>
                <w:b/>
                <w:bCs/>
                <w:color w:val="auto"/>
                <w:kern w:val="0"/>
                <w:sz w:val="22"/>
                <w:szCs w:val="22"/>
                <w:lang w:bidi="ar"/>
              </w:rPr>
              <w:t>通识教育课程</w:t>
            </w: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B890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通识教育核心课程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5018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思想政治理论课程模块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4BA0">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102985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0507">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中国近现代史纲要</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B77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DC2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44CB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B0B8">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5924F35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2BF5A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B50F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E235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AEDB">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101156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DC0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形势与政策</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E10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0BD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3C3F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D5E7">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096CDFC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975E4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298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CE26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4729">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101938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BD26">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思想道德与法治</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18B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3FD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F6A3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4F32">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78501ED8">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0D161A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C4E3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2B1C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C3EF">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104792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7AD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⽑泽东思想和中国特⾊社会主义理论体系概论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943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395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3F15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6BF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73E190C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BC2EF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1B1B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5F7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820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103638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EA4F">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⻢克思主义基本原理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E4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133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89FD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DA0A">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1FBEFD9">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7C897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1C23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9B3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0093">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104793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DCE9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习近平新时代中国特色社会主义思想概论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196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2DC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等线" w:hAnsi="等线" w:eastAsia="等线" w:cs="等线"/>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B0F5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A96F">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5CE9297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2D40A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64B4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3433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5FC4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25B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26E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tcPr>
          <w:p w14:paraId="4D6C6FAC">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F2F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74CD668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7E8CE9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433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125B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FBE2F">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理论素养教育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E49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6F8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E01F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⻢克思主义学院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10E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p>
        </w:tc>
      </w:tr>
      <w:tr w14:paraId="4D61D0EF">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6E2FF6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CF70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E5F0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56F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15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8617">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8E3B7">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C8A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7BD34765">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C9931B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4CD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DE5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通识限选课程七大模块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E8C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（经典阅读与历史⽂化传承）  限选课</w:t>
            </w:r>
          </w:p>
        </w:tc>
        <w:tc>
          <w:tcPr>
            <w:tcW w:w="672" w:type="dxa"/>
            <w:tcBorders>
              <w:top w:val="nil"/>
              <w:left w:val="single" w:color="000000" w:sz="4" w:space="0"/>
              <w:bottom w:val="single" w:color="000000" w:sz="4" w:space="0"/>
              <w:right w:val="single" w:color="000000" w:sz="4" w:space="0"/>
            </w:tcBorders>
            <w:shd w:val="clear" w:color="auto" w:fill="auto"/>
            <w:vAlign w:val="center"/>
          </w:tcPr>
          <w:p w14:paraId="45837C9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restart"/>
            <w:tcBorders>
              <w:top w:val="single" w:color="000000" w:sz="4" w:space="0"/>
              <w:left w:val="single" w:color="000000" w:sz="4" w:space="0"/>
              <w:right w:val="single" w:color="000000" w:sz="4" w:space="0"/>
            </w:tcBorders>
            <w:shd w:val="clear" w:color="auto" w:fill="auto"/>
            <w:vAlign w:val="center"/>
          </w:tcPr>
          <w:p w14:paraId="604F0285">
            <w:pPr>
              <w:pageBreakBefore w:val="0"/>
              <w:kinsoku/>
              <w:wordWrap/>
              <w:overflowPunct/>
              <w:topLinePunct w:val="0"/>
              <w:autoSpaceDE/>
              <w:autoSpaceDN/>
              <w:bidi w:val="0"/>
              <w:adjustRightInd/>
              <w:snapToGrid/>
              <w:jc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sz w:val="18"/>
                <w:szCs w:val="18"/>
                <w:lang w:val="en-US" w:eastAsia="zh-CN"/>
              </w:rPr>
              <w:t>1-7</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09077">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3118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七个模块中选择四个修读，详见通识限选课程培养方案</w:t>
            </w:r>
          </w:p>
        </w:tc>
      </w:tr>
      <w:tr w14:paraId="3EF7F3CF">
        <w:tblPrEx>
          <w:tblCellMar>
            <w:top w:w="0" w:type="dxa"/>
            <w:left w:w="108" w:type="dxa"/>
            <w:bottom w:w="0" w:type="dxa"/>
            <w:right w:w="108" w:type="dxa"/>
          </w:tblCellMar>
        </w:tblPrEx>
        <w:trPr>
          <w:trHeight w:val="362"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366DD1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D58E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89F1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CE56A">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  （哲学思辨与伦理规范）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F11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5172FA89">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24B49">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F107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4FA4E70B">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511DB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E0DA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EE2D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2034B">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通识模块三  （艺术修养与运动健康）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00E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55E081A6">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A8E28">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C47A1">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4257710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407F1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7827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61B6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51887">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通识模块四  （经济分析与数学思维）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C73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6AC8559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8D4A2">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1FCAD">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372EAB6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98273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5EEC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63B2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858E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通识模块五  （社会分析与公⺠素养）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7AF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751663BF">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D91CA">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EF8E0">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3937635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71616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2C35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C1A3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7CD9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通识模块六  （科学探索与智能素养）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C02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right w:val="single" w:color="000000" w:sz="4" w:space="0"/>
            </w:tcBorders>
            <w:shd w:val="clear" w:color="auto" w:fill="auto"/>
            <w:vAlign w:val="center"/>
          </w:tcPr>
          <w:p w14:paraId="55661E63">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898B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7EC76">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0197078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CEB508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D4D4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1E1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04F64">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3"/>
                <w:szCs w:val="13"/>
              </w:rPr>
            </w:pPr>
            <w:r>
              <w:rPr>
                <w:rFonts w:hint="eastAsia" w:ascii="微软雅黑" w:hAnsi="微软雅黑" w:cs="微软雅黑"/>
                <w:b/>
                <w:bCs/>
                <w:color w:val="auto"/>
                <w:kern w:val="0"/>
                <w:sz w:val="13"/>
                <w:szCs w:val="13"/>
                <w:lang w:bidi="ar"/>
              </w:rPr>
              <w:t>通识模块七  （</w:t>
            </w:r>
            <w:r>
              <w:rPr>
                <w:rFonts w:hint="eastAsia" w:ascii="微软雅黑" w:hAnsi="微软雅黑" w:cs="微软雅黑"/>
                <w:b/>
                <w:bCs/>
                <w:color w:val="auto"/>
                <w:kern w:val="0"/>
                <w:sz w:val="13"/>
                <w:szCs w:val="13"/>
                <w:lang w:eastAsia="zh-CN" w:bidi="ar"/>
              </w:rPr>
              <w:t>文明互鉴与全球领导力</w:t>
            </w:r>
            <w:r>
              <w:rPr>
                <w:rFonts w:hint="eastAsia" w:ascii="微软雅黑" w:hAnsi="微软雅黑" w:cs="微软雅黑"/>
                <w:b/>
                <w:bCs/>
                <w:color w:val="auto"/>
                <w:kern w:val="0"/>
                <w:sz w:val="13"/>
                <w:szCs w:val="13"/>
                <w:lang w:bidi="ar"/>
              </w:rPr>
              <w:t>）  限选课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614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vMerge w:val="continue"/>
            <w:tcBorders>
              <w:left w:val="single" w:color="000000" w:sz="4" w:space="0"/>
              <w:bottom w:val="single" w:color="000000" w:sz="4" w:space="0"/>
              <w:right w:val="single" w:color="000000" w:sz="4" w:space="0"/>
            </w:tcBorders>
            <w:shd w:val="clear" w:color="auto" w:fill="auto"/>
            <w:vAlign w:val="center"/>
          </w:tcPr>
          <w:p w14:paraId="3C3BCD18">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7F0CD">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DD591">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1F38C32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A077B9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D0B4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6635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E002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选修学分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681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8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CE2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2ECC1">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925D">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FB5B857">
        <w:tblPrEx>
          <w:tblCellMar>
            <w:top w:w="0" w:type="dxa"/>
            <w:left w:w="108" w:type="dxa"/>
            <w:bottom w:w="0" w:type="dxa"/>
            <w:right w:w="108" w:type="dxa"/>
          </w:tblCellMar>
        </w:tblPrEx>
        <w:trPr>
          <w:trHeight w:val="63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FA30F3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CD58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20"/>
                <w:szCs w:val="20"/>
              </w:rPr>
            </w:pPr>
            <w:r>
              <w:rPr>
                <w:rFonts w:hint="eastAsia" w:ascii="微软雅黑" w:hAnsi="微软雅黑" w:cs="微软雅黑"/>
                <w:b/>
                <w:bCs/>
                <w:color w:val="auto"/>
                <w:kern w:val="0"/>
                <w:sz w:val="20"/>
                <w:szCs w:val="20"/>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711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23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5F2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FE0CA">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70C4">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EF37A0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96DB0B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1C89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专项教育课程</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8BD0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外语课程模块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827D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E70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D5E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9A04B">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723C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详见外语课程培养方案</w:t>
            </w:r>
          </w:p>
        </w:tc>
      </w:tr>
      <w:tr w14:paraId="6313F7E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9D535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3AAB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9149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86E4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学术英语沟通模块II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755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D67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7273D">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915BE">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0D43C14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01A6FF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847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591D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9BF0D">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eastAsia="zh-CN" w:bidi="ar"/>
              </w:rPr>
              <w:t>多语与跨文化沟通</w:t>
            </w:r>
            <w:r>
              <w:rPr>
                <w:rFonts w:hint="eastAsia" w:ascii="微软雅黑" w:hAnsi="微软雅黑" w:cs="微软雅黑"/>
                <w:color w:val="auto"/>
                <w:kern w:val="0"/>
                <w:sz w:val="18"/>
                <w:szCs w:val="18"/>
                <w:lang w:bidi="ar"/>
              </w:rPr>
              <w:t>模块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218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F12B">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sz w:val="18"/>
                <w:szCs w:val="18"/>
                <w:lang w:val="en-US" w:eastAsia="zh-CN"/>
              </w:rPr>
            </w:pPr>
            <w:r>
              <w:rPr>
                <w:rFonts w:hint="eastAsia" w:ascii="微软雅黑" w:hAnsi="微软雅黑" w:cs="微软雅黑"/>
                <w:color w:val="auto"/>
                <w:kern w:val="0"/>
                <w:sz w:val="18"/>
                <w:szCs w:val="18"/>
                <w:lang w:bidi="ar"/>
              </w:rPr>
              <w:t>3</w:t>
            </w:r>
            <w:r>
              <w:rPr>
                <w:rFonts w:hint="eastAsia" w:ascii="微软雅黑" w:hAnsi="微软雅黑" w:cs="微软雅黑"/>
                <w:color w:val="auto"/>
                <w:kern w:val="0"/>
                <w:sz w:val="18"/>
                <w:szCs w:val="18"/>
                <w:lang w:val="en-US" w:eastAsia="zh-CN" w:bidi="ar"/>
              </w:rPr>
              <w:t>-4</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2DB62">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外国语学院</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7137F">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7884221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B59DDC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506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D33C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118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84D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192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7EB9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2A49">
            <w:pPr>
              <w:pageBreakBefore w:val="0"/>
              <w:kinsoku/>
              <w:wordWrap/>
              <w:overflowPunct/>
              <w:topLinePunct w:val="0"/>
              <w:autoSpaceDE/>
              <w:autoSpaceDN/>
              <w:bidi w:val="0"/>
              <w:adjustRightInd/>
              <w:snapToGrid/>
              <w:outlineLvl w:val="9"/>
              <w:rPr>
                <w:rFonts w:hint="eastAsia" w:ascii="微软雅黑" w:hAnsi="微软雅黑" w:cs="微软雅黑"/>
                <w:color w:val="auto"/>
                <w:sz w:val="18"/>
                <w:szCs w:val="18"/>
              </w:rPr>
            </w:pPr>
          </w:p>
        </w:tc>
      </w:tr>
      <w:tr w14:paraId="41CB4BC2">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01C919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A216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0343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体育课程模块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F713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体育模块 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A83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150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3AB1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73EA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详见体育课程培养方案</w:t>
            </w:r>
          </w:p>
        </w:tc>
      </w:tr>
      <w:tr w14:paraId="41629AC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26291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257F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5F3C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4F61A">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体育模块 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05C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CAC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806D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A72CB">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5FE5D50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D7C31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2A0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AC13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40173">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体育模块 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6CC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B32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2ED7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C78DE">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0455F39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F2B765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6E16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246C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1D44D">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体育模块 IV</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548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A97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4515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1E6B">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559967D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6DF5E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EFB1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F52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1AC4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体育锻炼</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972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 xml:space="preserve">0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BDA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5-6</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6B43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体育教学部</w:t>
            </w:r>
          </w:p>
        </w:tc>
        <w:tc>
          <w:tcPr>
            <w:tcW w:w="1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DAE6E">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r>
      <w:tr w14:paraId="2D09AE6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31473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61E4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5BD5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DFAE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C47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AF3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5D4B4">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E3D1">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778DFD40">
        <w:tblPrEx>
          <w:tblCellMar>
            <w:top w:w="0" w:type="dxa"/>
            <w:left w:w="108" w:type="dxa"/>
            <w:bottom w:w="0" w:type="dxa"/>
            <w:right w:w="108" w:type="dxa"/>
          </w:tblCellMar>
        </w:tblPrEx>
        <w:trPr>
          <w:trHeight w:val="409"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7396D4">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E29D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718D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人工智能课程模块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72E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107260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16F4">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《人工智能导论（B）》</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855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B691">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4</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2A45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FC1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可选修《人工智能导论（A）》课程做替换</w:t>
            </w:r>
          </w:p>
        </w:tc>
      </w:tr>
      <w:tr w14:paraId="2615AFF1">
        <w:tblPrEx>
          <w:tblCellMar>
            <w:top w:w="0" w:type="dxa"/>
            <w:left w:w="108" w:type="dxa"/>
            <w:bottom w:w="0" w:type="dxa"/>
            <w:right w:w="108" w:type="dxa"/>
          </w:tblCellMar>
        </w:tblPrEx>
        <w:trPr>
          <w:trHeight w:val="395"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D3981B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2919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9141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4B15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26A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81C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39634">
            <w:pPr>
              <w:pageBreakBefore w:val="0"/>
              <w:kinsoku/>
              <w:wordWrap/>
              <w:overflowPunct/>
              <w:topLinePunct w:val="0"/>
              <w:autoSpaceDE/>
              <w:autoSpaceDN/>
              <w:bidi w:val="0"/>
              <w:adjustRightInd/>
              <w:snapToGrid/>
              <w:jc w:val="left"/>
              <w:outlineLvl w:val="9"/>
              <w:rPr>
                <w:rFonts w:hint="eastAsia" w:ascii="微软雅黑" w:hAnsi="微软雅黑" w:cs="微软雅黑"/>
                <w:b/>
                <w:bCs/>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FE9D">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5306E7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90B816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FFF8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A668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健康教育模块</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773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106001</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9210">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卫⽣保健</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26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B979">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2</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E54D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医疗健康服务中⼼</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759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580AA227">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0A411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0E1B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A7D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9677">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106233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0A4E">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大学生心理健康与发展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193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4CBE">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9CED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党委学生工作部</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FD2E">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2ACB5A4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AFBA73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A6B7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91AC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4413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CD4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E9E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tcPr>
          <w:p w14:paraId="1B9BCC83">
            <w:pPr>
              <w:pageBreakBefore w:val="0"/>
              <w:kinsoku/>
              <w:wordWrap/>
              <w:overflowPunct/>
              <w:topLinePunct w:val="0"/>
              <w:autoSpaceDE/>
              <w:autoSpaceDN/>
              <w:bidi w:val="0"/>
              <w:adjustRightInd/>
              <w:snapToGrid/>
              <w:jc w:val="left"/>
              <w:outlineLvl w:val="9"/>
              <w:rPr>
                <w:rFonts w:cs="Arial"/>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7AA8">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2693FD56">
        <w:tblPrEx>
          <w:tblCellMar>
            <w:top w:w="0" w:type="dxa"/>
            <w:left w:w="108" w:type="dxa"/>
            <w:bottom w:w="0" w:type="dxa"/>
            <w:right w:w="108" w:type="dxa"/>
          </w:tblCellMar>
        </w:tblPrEx>
        <w:trPr>
          <w:trHeight w:val="371"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653D23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D2E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B23C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军事课程模块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91C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军训</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F6D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E8B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1F20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7F3D">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大一开学前</w:t>
            </w:r>
          </w:p>
        </w:tc>
      </w:tr>
      <w:tr w14:paraId="7F3E54E9">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66A8C3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291E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4C01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CC0F">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103486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1A8A">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军事理论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F7B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5B03">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03DA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保卫处|武装部</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3F6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1F828E8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4C656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B1CE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F8BE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DE2E">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106867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6C92">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国家安全教育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D90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DAE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7E00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保卫部</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254B">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1学分在线学习</w:t>
            </w:r>
          </w:p>
        </w:tc>
      </w:tr>
      <w:tr w14:paraId="5C80A12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A2BA9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169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66F5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ECA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5 </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4A9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76C7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48F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14B3603E">
        <w:tblPrEx>
          <w:tblCellMar>
            <w:top w:w="0" w:type="dxa"/>
            <w:left w:w="108" w:type="dxa"/>
            <w:bottom w:w="0" w:type="dxa"/>
            <w:right w:w="108" w:type="dxa"/>
          </w:tblCellMar>
        </w:tblPrEx>
        <w:trPr>
          <w:trHeight w:val="382"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DB3B11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50E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501A4">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通识选修课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96A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016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5</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EE396">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C9CC">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52C0A85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07FE8C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2650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4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BB6B22">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新生研讨课</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AEC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B1D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A1D89">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BCC7C">
            <w:pPr>
              <w:pageBreakBefore w:val="0"/>
              <w:kinsoku/>
              <w:wordWrap/>
              <w:overflowPunct/>
              <w:topLinePunct w:val="0"/>
              <w:autoSpaceDE/>
              <w:autoSpaceDN/>
              <w:bidi w:val="0"/>
              <w:adjustRightInd/>
              <w:snapToGrid/>
              <w:jc w:val="left"/>
              <w:outlineLvl w:val="9"/>
              <w:rPr>
                <w:rFonts w:hint="eastAsia" w:ascii="等线" w:hAnsi="等线" w:eastAsia="等线" w:cs="等线"/>
                <w:color w:val="auto"/>
                <w:sz w:val="18"/>
                <w:szCs w:val="18"/>
              </w:rPr>
            </w:pPr>
          </w:p>
        </w:tc>
      </w:tr>
      <w:tr w14:paraId="162815C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406A55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00BF2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69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A70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1F364">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051E">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AE9A4D8">
        <w:tblPrEx>
          <w:tblCellMar>
            <w:top w:w="0" w:type="dxa"/>
            <w:left w:w="108" w:type="dxa"/>
            <w:bottom w:w="0" w:type="dxa"/>
            <w:right w:w="108" w:type="dxa"/>
          </w:tblCellMar>
        </w:tblPrEx>
        <w:trPr>
          <w:trHeight w:val="94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96BB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D45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 xml:space="preserve">46 </w:t>
            </w:r>
          </w:p>
        </w:tc>
        <w:tc>
          <w:tcPr>
            <w:tcW w:w="45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D5E5A">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至少修读2学分的艺术修养类通识限定选修课或通识选修课程，艺术修养课程清单将于每学期选课通知中发布</w:t>
            </w:r>
          </w:p>
        </w:tc>
      </w:tr>
      <w:tr w14:paraId="66AF4753">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5DFF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专业培养模块</w:t>
            </w: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5F4CE27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学科共同课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A94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100693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14A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数学分析I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360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02A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7547FB5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6582D19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4BA7595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D502134">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616B0D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FA8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105308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057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数学分析II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2F1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D61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E80A59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485DA59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444B3EF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1C431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4D4792D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295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105309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475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数学分析III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CDE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66D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9B1485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0130B2E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0E9D5650">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5BAC89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9AF409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EAD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105494</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A36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概率论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7ED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981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205E1EC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55CF592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10A2870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50506A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CDD8C2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EA0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102480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95A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数理统计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580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B48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243675A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584CAD5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5EB4693E">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22AF4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BABC05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994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101828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2FA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计算机编程</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CA4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E13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BC8329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2A49725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2E7875CA">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A36501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0ABFAD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0A0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103298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84A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高等代数I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55D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BD2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07118C6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47449E4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4F5C039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4B8D1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3717D5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F48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103299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010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高等代数II</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852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80A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6355968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数学学院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657B89A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数理基础课</w:t>
            </w:r>
          </w:p>
        </w:tc>
      </w:tr>
      <w:tr w14:paraId="7B8EF486">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802756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315D9C3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00F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103430</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B76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微观经济学</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DDB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83E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43D6FC0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经济学院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298F5A7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经济学基础模块</w:t>
            </w:r>
          </w:p>
        </w:tc>
      </w:tr>
      <w:tr w14:paraId="4D0B3C2D">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647C2B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A0516F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7FB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100096</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468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宏观经济学</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C2B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D5A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777EF09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经济学院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5BE0759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经济学基础模块</w:t>
            </w:r>
          </w:p>
        </w:tc>
      </w:tr>
      <w:tr w14:paraId="1C025B7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1077E5">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69D4551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6F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101619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15D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政治经济学</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ABE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B1D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3</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4915398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经济学院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4E4DDC1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经济学基础模块</w:t>
            </w:r>
          </w:p>
        </w:tc>
      </w:tr>
      <w:tr w14:paraId="0B0F0453">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17AD12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FB6632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28B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105239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60E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习近平经济思想概论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748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278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7B5DF8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马克思主义学院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774E1F2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3"/>
                <w:szCs w:val="13"/>
              </w:rPr>
            </w:pPr>
            <w:r>
              <w:rPr>
                <w:rFonts w:hint="eastAsia" w:ascii="微软雅黑" w:hAnsi="微软雅黑" w:cs="微软雅黑"/>
                <w:color w:val="auto"/>
                <w:kern w:val="0"/>
                <w:sz w:val="13"/>
                <w:szCs w:val="13"/>
                <w:lang w:bidi="ar"/>
              </w:rPr>
              <w:t>经济学基础模块</w:t>
            </w:r>
          </w:p>
        </w:tc>
      </w:tr>
      <w:tr w14:paraId="34DFA3D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A25AB1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72222B8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D02D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6E8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39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7BF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413EE9F">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1BB61F68">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B70BDCF">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9E08E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restart"/>
            <w:tcBorders>
              <w:top w:val="single" w:color="000000" w:sz="4" w:space="0"/>
              <w:left w:val="single" w:color="000000" w:sz="4" w:space="0"/>
              <w:right w:val="single" w:color="000000" w:sz="4" w:space="0"/>
            </w:tcBorders>
            <w:shd w:val="clear" w:color="auto" w:fill="auto"/>
            <w:vAlign w:val="center"/>
          </w:tcPr>
          <w:p w14:paraId="03C8B24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专业基础课</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38C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102689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76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机器学习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B5E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E69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3699101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290BF98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46D30A49">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F2E7B2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5374F8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998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100659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D0F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国民经济核算</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914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B43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C73A6F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1BD7F4B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5690393D">
        <w:tblPrEx>
          <w:tblCellMar>
            <w:top w:w="0" w:type="dxa"/>
            <w:left w:w="108" w:type="dxa"/>
            <w:bottom w:w="0" w:type="dxa"/>
            <w:right w:w="108" w:type="dxa"/>
          </w:tblCellMar>
        </w:tblPrEx>
        <w:trPr>
          <w:trHeight w:val="473"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93E602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58FB4C2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20E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105497</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285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计量经济学</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A8A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3C6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288C040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1E845A7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213D2235">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5F0AC1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D07649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0A1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105498</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A7B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金融风险管理</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DF8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410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29123C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65163D5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1003FEB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5603A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1BD7D513">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E97B">
            <w:pPr>
              <w:pageBreakBefore w:val="0"/>
              <w:widowControl/>
              <w:kinsoku/>
              <w:wordWrap/>
              <w:overflowPunct/>
              <w:topLinePunct w:val="0"/>
              <w:autoSpaceDE/>
              <w:autoSpaceDN/>
              <w:bidi w:val="0"/>
              <w:adjustRightInd/>
              <w:snapToGrid/>
              <w:jc w:val="center"/>
              <w:textAlignment w:val="center"/>
              <w:outlineLvl w:val="9"/>
              <w:rPr>
                <w:rFonts w:hint="default" w:ascii="微软雅黑" w:hAnsi="微软雅黑" w:eastAsia="微软雅黑" w:cs="微软雅黑"/>
                <w:color w:val="auto"/>
                <w:kern w:val="0"/>
                <w:sz w:val="18"/>
                <w:szCs w:val="18"/>
                <w:lang w:val="en-US" w:eastAsia="zh-CN" w:bidi="ar"/>
              </w:rPr>
            </w:pPr>
            <w:r>
              <w:rPr>
                <w:rFonts w:hint="eastAsia" w:ascii="微软雅黑" w:hAnsi="微软雅黑" w:cs="微软雅黑"/>
                <w:color w:val="auto"/>
                <w:kern w:val="0"/>
                <w:sz w:val="18"/>
                <w:szCs w:val="18"/>
                <w:lang w:val="en-US" w:eastAsia="zh-CN" w:bidi="ar"/>
              </w:rPr>
              <w:t>107479</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FAA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数值计算与模拟</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08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5BF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4</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02B162B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6A245CA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615ED69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4E8C5E">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546BB13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48C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103322</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D48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多元统计分析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072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4C8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B504CA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72988CC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701A6FF4">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E5C10C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7CFCE15B">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674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100923</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EFEF">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回归分析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5A1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51D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6573F4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2C23AFC2">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38EE86B1">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45D29C">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right w:val="single" w:color="000000" w:sz="4" w:space="0"/>
            </w:tcBorders>
            <w:shd w:val="clear" w:color="auto" w:fill="auto"/>
            <w:textDirection w:val="tbRlV"/>
            <w:vAlign w:val="center"/>
          </w:tcPr>
          <w:p w14:paraId="2EAD84F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A67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103235</w:t>
            </w:r>
          </w:p>
        </w:tc>
        <w:tc>
          <w:tcPr>
            <w:tcW w:w="2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CA1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 xml:space="preserve"> 时间序列分析</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0B60">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3ED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2054"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07BF67B9">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统计与数据科学学院</w:t>
            </w:r>
          </w:p>
        </w:tc>
        <w:tc>
          <w:tcPr>
            <w:tcW w:w="1766" w:type="dxa"/>
            <w:tcBorders>
              <w:top w:val="single" w:color="auto" w:sz="4" w:space="0"/>
              <w:left w:val="single" w:color="auto" w:sz="4" w:space="0"/>
              <w:bottom w:val="single" w:color="auto" w:sz="4" w:space="0"/>
              <w:right w:val="single" w:color="auto" w:sz="4" w:space="0"/>
            </w:tcBorders>
            <w:shd w:val="clear" w:color="auto" w:fill="auto"/>
            <w:vAlign w:val="center"/>
          </w:tcPr>
          <w:p w14:paraId="54FAE9F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p>
        </w:tc>
      </w:tr>
      <w:tr w14:paraId="4F861188">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1B2059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1836" w:type="dxa"/>
            <w:gridSpan w:val="2"/>
            <w:vMerge w:val="continue"/>
            <w:tcBorders>
              <w:left w:val="single" w:color="000000" w:sz="4" w:space="0"/>
              <w:bottom w:val="single" w:color="000000" w:sz="4" w:space="0"/>
              <w:right w:val="single" w:color="000000" w:sz="4" w:space="0"/>
            </w:tcBorders>
            <w:shd w:val="clear" w:color="auto" w:fill="auto"/>
            <w:textDirection w:val="tbRlV"/>
            <w:vAlign w:val="center"/>
          </w:tcPr>
          <w:p w14:paraId="158D9B7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3139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EB30">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6E2D">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970BE">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auto" w:sz="4" w:space="0"/>
              <w:left w:val="single" w:color="000000" w:sz="4" w:space="0"/>
              <w:bottom w:val="single" w:color="000000" w:sz="4" w:space="0"/>
              <w:right w:val="single" w:color="000000" w:sz="4" w:space="0"/>
            </w:tcBorders>
            <w:shd w:val="clear" w:color="auto" w:fill="auto"/>
            <w:vAlign w:val="center"/>
          </w:tcPr>
          <w:p w14:paraId="47B6EBEF">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18A4AB7C">
        <w:tblPrEx>
          <w:tblCellMar>
            <w:top w:w="0" w:type="dxa"/>
            <w:left w:w="108" w:type="dxa"/>
            <w:bottom w:w="0" w:type="dxa"/>
            <w:right w:w="108" w:type="dxa"/>
          </w:tblCellMar>
        </w:tblPrEx>
        <w:trPr>
          <w:trHeight w:val="384" w:hRule="atLeast"/>
          <w:jc w:val="center"/>
        </w:trPr>
        <w:tc>
          <w:tcPr>
            <w:tcW w:w="36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5B62D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EC13D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213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61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EE4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C106F">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53F5">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07DDE15E">
        <w:tblPrEx>
          <w:tblCellMar>
            <w:top w:w="0" w:type="dxa"/>
            <w:left w:w="108" w:type="dxa"/>
            <w:bottom w:w="0" w:type="dxa"/>
            <w:right w:w="108" w:type="dxa"/>
          </w:tblCellMar>
        </w:tblPrEx>
        <w:trPr>
          <w:trHeight w:val="384" w:hRule="atLeast"/>
          <w:jc w:val="center"/>
        </w:trPr>
        <w:tc>
          <w:tcPr>
            <w:tcW w:w="368" w:type="dxa"/>
            <w:vMerge w:val="restart"/>
            <w:tcBorders>
              <w:top w:val="single" w:color="000000" w:sz="4" w:space="0"/>
              <w:left w:val="single" w:color="000000" w:sz="4" w:space="0"/>
              <w:right w:val="single" w:color="auto" w:sz="4" w:space="0"/>
            </w:tcBorders>
            <w:shd w:val="clear" w:color="auto" w:fill="auto"/>
            <w:vAlign w:val="center"/>
          </w:tcPr>
          <w:p w14:paraId="0053607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22"/>
                <w:szCs w:val="22"/>
              </w:rPr>
            </w:pPr>
            <w:r>
              <w:rPr>
                <w:rFonts w:hint="eastAsia" w:ascii="微软雅黑" w:hAnsi="微软雅黑" w:cs="微软雅黑"/>
                <w:b/>
                <w:bCs/>
                <w:color w:val="auto"/>
                <w:kern w:val="0"/>
                <w:sz w:val="22"/>
                <w:szCs w:val="22"/>
                <w:lang w:bidi="ar"/>
              </w:rPr>
              <w:t>个性化培养模块</w:t>
            </w:r>
          </w:p>
        </w:tc>
        <w:tc>
          <w:tcPr>
            <w:tcW w:w="10180" w:type="dxa"/>
            <w:gridSpan w:val="9"/>
            <w:tcBorders>
              <w:top w:val="single" w:color="auto" w:sz="4" w:space="0"/>
              <w:left w:val="single" w:color="auto" w:sz="4" w:space="0"/>
              <w:right w:val="single" w:color="000000" w:sz="4" w:space="0"/>
            </w:tcBorders>
            <w:shd w:val="clear" w:color="auto" w:fill="auto"/>
            <w:vAlign w:val="center"/>
          </w:tcPr>
          <w:p w14:paraId="19A91D83">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114F7FE1">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661B8C86">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restart"/>
            <w:tcBorders>
              <w:top w:val="single" w:color="auto" w:sz="4" w:space="0"/>
              <w:left w:val="single" w:color="000000" w:sz="4" w:space="0"/>
              <w:right w:val="single" w:color="000000" w:sz="4" w:space="0"/>
            </w:tcBorders>
            <w:shd w:val="clear" w:color="auto" w:fill="auto"/>
            <w:vAlign w:val="center"/>
          </w:tcPr>
          <w:p w14:paraId="49EAD79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卓越型</w:t>
            </w: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515E736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专业方向模块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E40A9">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见卓越型专业方向模块课程清单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721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14</w:t>
            </w:r>
          </w:p>
        </w:tc>
        <w:tc>
          <w:tcPr>
            <w:tcW w:w="4526" w:type="dxa"/>
            <w:gridSpan w:val="4"/>
            <w:vMerge w:val="restart"/>
            <w:tcBorders>
              <w:top w:val="single" w:color="000000" w:sz="4" w:space="0"/>
              <w:left w:val="single" w:color="000000" w:sz="4" w:space="0"/>
              <w:right w:val="single" w:color="000000" w:sz="4" w:space="0"/>
            </w:tcBorders>
            <w:shd w:val="clear" w:color="auto" w:fill="auto"/>
            <w:vAlign w:val="center"/>
          </w:tcPr>
          <w:p w14:paraId="62BD4010">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至少修读1学分国际课程，境外交流、访学等可替代该学分</w:t>
            </w:r>
          </w:p>
        </w:tc>
      </w:tr>
      <w:tr w14:paraId="418935E0">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31E99AF4">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69EA4FA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5CFF227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跨学科选修</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A3D25">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sz w:val="18"/>
                <w:szCs w:val="18"/>
              </w:rPr>
              <w:t>见跨学科选修课程清单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F5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6</w:t>
            </w:r>
          </w:p>
        </w:tc>
        <w:tc>
          <w:tcPr>
            <w:tcW w:w="4526" w:type="dxa"/>
            <w:gridSpan w:val="4"/>
            <w:vMerge w:val="continue"/>
            <w:tcBorders>
              <w:left w:val="single" w:color="000000" w:sz="4" w:space="0"/>
              <w:right w:val="single" w:color="000000" w:sz="4" w:space="0"/>
            </w:tcBorders>
            <w:shd w:val="clear" w:color="auto" w:fill="auto"/>
            <w:vAlign w:val="center"/>
          </w:tcPr>
          <w:p w14:paraId="4B4F7004">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6BC3BC7C">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47E4A5D8">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29BB36A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0E2C365B">
            <w:pPr>
              <w:pageBreakBefore w:val="0"/>
              <w:kinsoku/>
              <w:wordWrap/>
              <w:overflowPunct/>
              <w:topLinePunct w:val="0"/>
              <w:autoSpaceDE/>
              <w:autoSpaceDN/>
              <w:bidi w:val="0"/>
              <w:adjustRightInd/>
              <w:snapToGrid/>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双创训练</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DEF70">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sz w:val="18"/>
                <w:szCs w:val="18"/>
              </w:rPr>
              <w:t>参照各学院制定的双创训练认定要求</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863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w:t>
            </w:r>
          </w:p>
        </w:tc>
        <w:tc>
          <w:tcPr>
            <w:tcW w:w="4526" w:type="dxa"/>
            <w:gridSpan w:val="4"/>
            <w:vMerge w:val="continue"/>
            <w:tcBorders>
              <w:left w:val="single" w:color="000000" w:sz="4" w:space="0"/>
              <w:bottom w:val="single" w:color="000000" w:sz="4" w:space="0"/>
              <w:right w:val="single" w:color="000000" w:sz="4" w:space="0"/>
            </w:tcBorders>
            <w:shd w:val="clear" w:color="auto" w:fill="auto"/>
            <w:vAlign w:val="center"/>
          </w:tcPr>
          <w:p w14:paraId="54F590E0">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35C53CEF">
        <w:tblPrEx>
          <w:tblCellMar>
            <w:top w:w="0" w:type="dxa"/>
            <w:left w:w="108" w:type="dxa"/>
            <w:bottom w:w="0" w:type="dxa"/>
            <w:right w:w="108" w:type="dxa"/>
          </w:tblCellMar>
        </w:tblPrEx>
        <w:trPr>
          <w:trHeight w:val="90"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4F22DC74">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bottom w:val="single" w:color="auto" w:sz="4" w:space="0"/>
              <w:right w:val="single" w:color="000000" w:sz="4" w:space="0"/>
            </w:tcBorders>
            <w:shd w:val="clear" w:color="auto" w:fill="auto"/>
            <w:vAlign w:val="center"/>
          </w:tcPr>
          <w:p w14:paraId="07702E4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kern w:val="0"/>
                <w:sz w:val="18"/>
                <w:szCs w:val="18"/>
                <w:lang w:bidi="ar"/>
              </w:rPr>
            </w:pPr>
          </w:p>
        </w:tc>
        <w:tc>
          <w:tcPr>
            <w:tcW w:w="4550"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75AC0EFD">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b/>
                <w:bCs/>
                <w:color w:val="auto"/>
                <w:sz w:val="18"/>
                <w:szCs w:val="18"/>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FEC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6C9C">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47A7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BAA69">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2BF2014">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6ABF7EE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restart"/>
            <w:tcBorders>
              <w:top w:val="single" w:color="auto" w:sz="4" w:space="0"/>
              <w:left w:val="single" w:color="000000" w:sz="4" w:space="0"/>
              <w:right w:val="single" w:color="000000" w:sz="4" w:space="0"/>
            </w:tcBorders>
            <w:shd w:val="clear" w:color="auto" w:fill="auto"/>
            <w:vAlign w:val="center"/>
          </w:tcPr>
          <w:p w14:paraId="4F745B34">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创业型</w:t>
            </w: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3DDBBA5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创业课程群模块</w:t>
            </w:r>
          </w:p>
        </w:tc>
        <w:tc>
          <w:tcPr>
            <w:tcW w:w="8344" w:type="dxa"/>
            <w:gridSpan w:val="7"/>
            <w:vMerge w:val="restart"/>
            <w:tcBorders>
              <w:top w:val="single" w:color="000000" w:sz="4" w:space="0"/>
              <w:left w:val="single" w:color="000000" w:sz="4" w:space="0"/>
              <w:right w:val="single" w:color="000000" w:sz="4" w:space="0"/>
            </w:tcBorders>
            <w:shd w:val="clear" w:color="auto" w:fill="auto"/>
            <w:vAlign w:val="center"/>
          </w:tcPr>
          <w:p w14:paraId="3187D33A">
            <w:pPr>
              <w:pageBreakBefore w:val="0"/>
              <w:kinsoku/>
              <w:wordWrap/>
              <w:overflowPunct/>
              <w:topLinePunct w:val="0"/>
              <w:autoSpaceDE/>
              <w:autoSpaceDN/>
              <w:bidi w:val="0"/>
              <w:adjustRightInd/>
              <w:snapToGrid/>
              <w:jc w:val="left"/>
              <w:outlineLvl w:val="9"/>
              <w:rPr>
                <w:rFonts w:hint="eastAsia" w:ascii="微软雅黑" w:hAnsi="微软雅黑" w:eastAsia="微软雅黑" w:cs="微软雅黑"/>
                <w:color w:val="auto"/>
                <w:sz w:val="18"/>
                <w:szCs w:val="18"/>
                <w:lang w:eastAsia="zh-CN"/>
              </w:rPr>
            </w:pPr>
            <w:r>
              <w:rPr>
                <w:rFonts w:hint="eastAsia" w:ascii="微软雅黑" w:hAnsi="微软雅黑" w:cs="微软雅黑"/>
                <w:color w:val="auto"/>
                <w:sz w:val="18"/>
                <w:szCs w:val="18"/>
              </w:rPr>
              <w:t>详见创业型培养方案</w:t>
            </w:r>
            <w:r>
              <w:rPr>
                <w:rFonts w:hint="eastAsia" w:ascii="微软雅黑" w:hAnsi="微软雅黑" w:cs="微软雅黑"/>
                <w:color w:val="auto"/>
                <w:sz w:val="18"/>
                <w:szCs w:val="18"/>
                <w:lang w:eastAsia="zh-CN"/>
              </w:rPr>
              <w:t>（</w:t>
            </w:r>
            <w:r>
              <w:rPr>
                <w:rFonts w:hint="eastAsia" w:ascii="微软雅黑" w:hAnsi="微软雅黑" w:cs="微软雅黑"/>
                <w:color w:val="auto"/>
                <w:sz w:val="18"/>
                <w:szCs w:val="18"/>
                <w:lang w:val="en-US" w:eastAsia="zh-CN"/>
              </w:rPr>
              <w:t>13学分</w:t>
            </w:r>
            <w:r>
              <w:rPr>
                <w:rFonts w:hint="eastAsia" w:ascii="微软雅黑" w:hAnsi="微软雅黑" w:cs="微软雅黑"/>
                <w:color w:val="auto"/>
                <w:sz w:val="18"/>
                <w:szCs w:val="18"/>
                <w:lang w:eastAsia="zh-CN"/>
              </w:rPr>
              <w:t>）</w:t>
            </w:r>
          </w:p>
        </w:tc>
      </w:tr>
      <w:tr w14:paraId="575011FB">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393E6819">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2A2C4FD7">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00FFACE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创业实践</w:t>
            </w:r>
          </w:p>
        </w:tc>
        <w:tc>
          <w:tcPr>
            <w:tcW w:w="8344" w:type="dxa"/>
            <w:gridSpan w:val="7"/>
            <w:vMerge w:val="continue"/>
            <w:tcBorders>
              <w:left w:val="single" w:color="000000" w:sz="4" w:space="0"/>
              <w:bottom w:val="single" w:color="000000" w:sz="4" w:space="0"/>
              <w:right w:val="single" w:color="000000" w:sz="4" w:space="0"/>
            </w:tcBorders>
            <w:shd w:val="clear" w:color="auto" w:fill="auto"/>
            <w:vAlign w:val="center"/>
          </w:tcPr>
          <w:p w14:paraId="6B989319">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064435F4">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35CE9EC7">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52AE14E7">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7B64CF3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专业方向模块</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F3186">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见卓越型专业方向模块课程清单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BDE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5</w:t>
            </w:r>
          </w:p>
        </w:tc>
        <w:tc>
          <w:tcPr>
            <w:tcW w:w="4526" w:type="dxa"/>
            <w:gridSpan w:val="4"/>
            <w:vMerge w:val="restart"/>
            <w:tcBorders>
              <w:top w:val="single" w:color="000000" w:sz="4" w:space="0"/>
              <w:left w:val="single" w:color="000000" w:sz="4" w:space="0"/>
              <w:right w:val="single" w:color="000000" w:sz="4" w:space="0"/>
            </w:tcBorders>
            <w:shd w:val="clear" w:color="auto" w:fill="auto"/>
            <w:vAlign w:val="center"/>
          </w:tcPr>
          <w:p w14:paraId="2441AADA">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至少修读1学分国际课程，境外交流、访学等可替代该学分</w:t>
            </w:r>
          </w:p>
        </w:tc>
      </w:tr>
      <w:tr w14:paraId="7F83F3EC">
        <w:tblPrEx>
          <w:tblCellMar>
            <w:top w:w="0" w:type="dxa"/>
            <w:left w:w="108" w:type="dxa"/>
            <w:bottom w:w="0" w:type="dxa"/>
            <w:right w:w="108" w:type="dxa"/>
          </w:tblCellMar>
        </w:tblPrEx>
        <w:trPr>
          <w:trHeight w:val="631"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01D6936F">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right w:val="single" w:color="000000" w:sz="4" w:space="0"/>
            </w:tcBorders>
            <w:shd w:val="clear" w:color="auto" w:fill="auto"/>
            <w:vAlign w:val="center"/>
          </w:tcPr>
          <w:p w14:paraId="1FE2A8DF">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kern w:val="0"/>
                <w:sz w:val="18"/>
                <w:szCs w:val="18"/>
                <w:lang w:bidi="ar"/>
              </w:rPr>
            </w:pPr>
          </w:p>
        </w:tc>
        <w:tc>
          <w:tcPr>
            <w:tcW w:w="1404" w:type="dxa"/>
            <w:tcBorders>
              <w:top w:val="single" w:color="auto" w:sz="4" w:space="0"/>
              <w:left w:val="single" w:color="000000" w:sz="4" w:space="0"/>
              <w:bottom w:val="single" w:color="auto" w:sz="4" w:space="0"/>
              <w:right w:val="single" w:color="000000" w:sz="4" w:space="0"/>
            </w:tcBorders>
            <w:shd w:val="clear" w:color="auto" w:fill="auto"/>
            <w:vAlign w:val="center"/>
          </w:tcPr>
          <w:p w14:paraId="5575388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跨学科选修</w:t>
            </w:r>
          </w:p>
        </w:tc>
        <w:tc>
          <w:tcPr>
            <w:tcW w:w="3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732EC">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见跨学科选修课程清单</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35F7">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4</w:t>
            </w:r>
          </w:p>
        </w:tc>
        <w:tc>
          <w:tcPr>
            <w:tcW w:w="4526" w:type="dxa"/>
            <w:gridSpan w:val="4"/>
            <w:vMerge w:val="continue"/>
            <w:tcBorders>
              <w:left w:val="single" w:color="000000" w:sz="4" w:space="0"/>
              <w:bottom w:val="single" w:color="000000" w:sz="4" w:space="0"/>
              <w:right w:val="single" w:color="000000" w:sz="4" w:space="0"/>
            </w:tcBorders>
            <w:shd w:val="clear" w:color="auto" w:fill="auto"/>
            <w:vAlign w:val="center"/>
          </w:tcPr>
          <w:p w14:paraId="75D82157">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3E4F5577">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right w:val="single" w:color="auto" w:sz="4" w:space="0"/>
            </w:tcBorders>
            <w:shd w:val="clear" w:color="auto" w:fill="auto"/>
            <w:textDirection w:val="tbRlV"/>
            <w:vAlign w:val="center"/>
          </w:tcPr>
          <w:p w14:paraId="0431A58A">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32" w:type="dxa"/>
            <w:vMerge w:val="continue"/>
            <w:tcBorders>
              <w:left w:val="single" w:color="000000" w:sz="4" w:space="0"/>
              <w:bottom w:val="single" w:color="auto" w:sz="4" w:space="0"/>
              <w:right w:val="single" w:color="000000" w:sz="4" w:space="0"/>
            </w:tcBorders>
            <w:shd w:val="clear" w:color="auto" w:fill="auto"/>
            <w:vAlign w:val="center"/>
          </w:tcPr>
          <w:p w14:paraId="7FA85BE5">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p>
        </w:tc>
        <w:tc>
          <w:tcPr>
            <w:tcW w:w="4550"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78DA6C4E">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学分小计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DFF3">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519B">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898A">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D51FD">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30DC79D6">
        <w:tblPrEx>
          <w:tblCellMar>
            <w:top w:w="0" w:type="dxa"/>
            <w:left w:w="108" w:type="dxa"/>
            <w:bottom w:w="0" w:type="dxa"/>
            <w:right w:w="108" w:type="dxa"/>
          </w:tblCellMar>
        </w:tblPrEx>
        <w:trPr>
          <w:trHeight w:val="384" w:hRule="atLeast"/>
          <w:jc w:val="center"/>
        </w:trPr>
        <w:tc>
          <w:tcPr>
            <w:tcW w:w="368" w:type="dxa"/>
            <w:vMerge w:val="continue"/>
            <w:tcBorders>
              <w:left w:val="single" w:color="000000" w:sz="4" w:space="0"/>
              <w:bottom w:val="nil"/>
              <w:right w:val="single" w:color="auto" w:sz="4" w:space="0"/>
            </w:tcBorders>
            <w:shd w:val="clear" w:color="auto" w:fill="auto"/>
            <w:textDirection w:val="tbRlV"/>
            <w:vAlign w:val="center"/>
          </w:tcPr>
          <w:p w14:paraId="048E8822">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22"/>
                <w:szCs w:val="22"/>
              </w:rPr>
            </w:pPr>
          </w:p>
        </w:tc>
        <w:tc>
          <w:tcPr>
            <w:tcW w:w="49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0921EB">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学分⼩计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1C9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E68A">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DE27">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F437A">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05D3EEA5">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3ACA6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毕业论⽂</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AC16">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7339">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4A7F">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8961E">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670901F9">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6D91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毕业实习</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A364">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05F9">
            <w:pPr>
              <w:pageBreakBefore w:val="0"/>
              <w:kinsoku/>
              <w:wordWrap/>
              <w:overflowPunct/>
              <w:topLinePunct w:val="0"/>
              <w:autoSpaceDE/>
              <w:autoSpaceDN/>
              <w:bidi w:val="0"/>
              <w:adjustRightInd/>
              <w:snapToGrid/>
              <w:jc w:val="center"/>
              <w:outlineLvl w:val="9"/>
              <w:rPr>
                <w:rFonts w:hint="eastAsia" w:ascii="微软雅黑" w:hAnsi="微软雅黑" w:cs="微软雅黑"/>
                <w:color w:val="auto"/>
                <w:sz w:val="18"/>
                <w:szCs w:val="18"/>
              </w:rPr>
            </w:pPr>
            <w:r>
              <w:rPr>
                <w:rFonts w:hint="eastAsia" w:ascii="微软雅黑" w:hAnsi="微软雅黑" w:cs="微软雅黑"/>
                <w:color w:val="auto"/>
                <w:sz w:val="18"/>
                <w:szCs w:val="18"/>
              </w:rPr>
              <w:t>8</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08B5">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FED21">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498FAE51">
        <w:tblPrEx>
          <w:tblCellMar>
            <w:top w:w="0" w:type="dxa"/>
            <w:left w:w="108" w:type="dxa"/>
            <w:bottom w:w="0" w:type="dxa"/>
            <w:right w:w="108" w:type="dxa"/>
          </w:tblCellMar>
        </w:tblPrEx>
        <w:trPr>
          <w:trHeight w:val="631"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9D986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实践教育</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A2CC">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10</w:t>
            </w:r>
          </w:p>
        </w:tc>
        <w:tc>
          <w:tcPr>
            <w:tcW w:w="45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D1329E">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详见《上海财经大学本科生第二课堂（实践教育）学分认定及实施办法》</w:t>
            </w:r>
          </w:p>
        </w:tc>
      </w:tr>
      <w:tr w14:paraId="0B64A142">
        <w:tblPrEx>
          <w:tblCellMar>
            <w:top w:w="0" w:type="dxa"/>
            <w:left w:w="108" w:type="dxa"/>
            <w:bottom w:w="0" w:type="dxa"/>
            <w:right w:w="108" w:type="dxa"/>
          </w:tblCellMar>
        </w:tblPrEx>
        <w:trPr>
          <w:trHeight w:val="384" w:hRule="atLeast"/>
          <w:jc w:val="center"/>
        </w:trPr>
        <w:tc>
          <w:tcPr>
            <w:tcW w:w="5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F27E1">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kern w:val="0"/>
                <w:sz w:val="18"/>
                <w:szCs w:val="18"/>
                <w:lang w:bidi="ar"/>
              </w:rPr>
              <w:t>全程总计</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9D08">
            <w:pPr>
              <w:pageBreakBefore w:val="0"/>
              <w:widowControl/>
              <w:kinsoku/>
              <w:wordWrap/>
              <w:overflowPunct/>
              <w:topLinePunct w:val="0"/>
              <w:autoSpaceDE/>
              <w:autoSpaceDN/>
              <w:bidi w:val="0"/>
              <w:adjustRightInd/>
              <w:snapToGrid/>
              <w:jc w:val="center"/>
              <w:textAlignment w:val="center"/>
              <w:outlineLvl w:val="9"/>
              <w:rPr>
                <w:rFonts w:hint="eastAsia" w:ascii="微软雅黑" w:hAnsi="微软雅黑" w:cs="微软雅黑"/>
                <w:b/>
                <w:bCs/>
                <w:color w:val="auto"/>
                <w:sz w:val="18"/>
                <w:szCs w:val="18"/>
              </w:rPr>
            </w:pPr>
            <w:r>
              <w:rPr>
                <w:rFonts w:hint="eastAsia" w:ascii="微软雅黑" w:hAnsi="微软雅黑" w:cs="微软雅黑"/>
                <w:b/>
                <w:bCs/>
                <w:color w:val="auto"/>
                <w:sz w:val="18"/>
                <w:szCs w:val="18"/>
              </w:rPr>
              <w:t>147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21E1">
            <w:pPr>
              <w:pageBreakBefore w:val="0"/>
              <w:kinsoku/>
              <w:wordWrap/>
              <w:overflowPunct/>
              <w:topLinePunct w:val="0"/>
              <w:autoSpaceDE/>
              <w:autoSpaceDN/>
              <w:bidi w:val="0"/>
              <w:adjustRightInd/>
              <w:snapToGrid/>
              <w:jc w:val="center"/>
              <w:outlineLvl w:val="9"/>
              <w:rPr>
                <w:rFonts w:hint="eastAsia" w:ascii="微软雅黑" w:hAnsi="微软雅黑" w:cs="微软雅黑"/>
                <w:b/>
                <w:bCs/>
                <w:color w:val="auto"/>
                <w:sz w:val="18"/>
                <w:szCs w:val="18"/>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BD1B">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c>
          <w:tcPr>
            <w:tcW w:w="22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DA520">
            <w:pPr>
              <w:pageBreakBefore w:val="0"/>
              <w:kinsoku/>
              <w:wordWrap/>
              <w:overflowPunct/>
              <w:topLinePunct w:val="0"/>
              <w:autoSpaceDE/>
              <w:autoSpaceDN/>
              <w:bidi w:val="0"/>
              <w:adjustRightInd/>
              <w:snapToGrid/>
              <w:jc w:val="left"/>
              <w:outlineLvl w:val="9"/>
              <w:rPr>
                <w:rFonts w:hint="eastAsia" w:ascii="微软雅黑" w:hAnsi="微软雅黑" w:cs="微软雅黑"/>
                <w:color w:val="auto"/>
                <w:sz w:val="18"/>
                <w:szCs w:val="18"/>
              </w:rPr>
            </w:pPr>
          </w:p>
        </w:tc>
      </w:tr>
      <w:tr w14:paraId="52D62BFC">
        <w:tblPrEx>
          <w:tblCellMar>
            <w:top w:w="0" w:type="dxa"/>
            <w:left w:w="108" w:type="dxa"/>
            <w:bottom w:w="0" w:type="dxa"/>
            <w:right w:w="108" w:type="dxa"/>
          </w:tblCellMar>
        </w:tblPrEx>
        <w:trPr>
          <w:trHeight w:val="1881" w:hRule="atLeast"/>
          <w:jc w:val="center"/>
        </w:trPr>
        <w:tc>
          <w:tcPr>
            <w:tcW w:w="30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8B1248">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sz w:val="18"/>
                <w:szCs w:val="18"/>
              </w:rPr>
            </w:pPr>
            <w:r>
              <w:rPr>
                <w:rFonts w:hint="eastAsia" w:ascii="微软雅黑" w:hAnsi="微软雅黑" w:cs="微软雅黑"/>
                <w:color w:val="auto"/>
                <w:kern w:val="0"/>
                <w:sz w:val="18"/>
                <w:szCs w:val="18"/>
                <w:lang w:bidi="ar"/>
              </w:rPr>
              <w:t>备注</w:t>
            </w:r>
          </w:p>
        </w:tc>
        <w:tc>
          <w:tcPr>
            <w:tcW w:w="74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491B91">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1）至少修读2学分的艺术修养类通识限定选修课或通识选修课程，艺术修养课程清单将于每学期选课通知中发布；</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2）需完成不少于32学时（2学分）的劳动实践教育内容；</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3）至少修读1学分国际课程，境外交流、访学等可替代该学分。修读的暑期国际课程超过1学分的，具体替换规则以学院当年通知细则为准；</w:t>
            </w:r>
            <w:r>
              <w:rPr>
                <w:rFonts w:hint="eastAsia" w:ascii="微软雅黑" w:hAnsi="微软雅黑" w:cs="微软雅黑"/>
                <w:color w:val="auto"/>
                <w:kern w:val="0"/>
                <w:sz w:val="18"/>
                <w:szCs w:val="18"/>
                <w:lang w:bidi="ar"/>
              </w:rPr>
              <w:br w:type="textWrapping"/>
            </w:r>
            <w:r>
              <w:rPr>
                <w:rFonts w:hint="eastAsia" w:ascii="微软雅黑" w:hAnsi="微软雅黑" w:cs="微软雅黑"/>
                <w:color w:val="auto"/>
                <w:kern w:val="0"/>
                <w:sz w:val="18"/>
                <w:szCs w:val="18"/>
                <w:lang w:bidi="ar"/>
              </w:rPr>
              <w:t>4）2025级新生必修1学分新生研讨课，多修的学分可认作通识选修；</w:t>
            </w:r>
          </w:p>
          <w:p w14:paraId="17B34120">
            <w:pPr>
              <w:pageBreakBefore w:val="0"/>
              <w:widowControl/>
              <w:kinsoku/>
              <w:wordWrap/>
              <w:overflowPunct/>
              <w:topLinePunct w:val="0"/>
              <w:autoSpaceDE/>
              <w:autoSpaceDN/>
              <w:bidi w:val="0"/>
              <w:adjustRightInd/>
              <w:snapToGrid/>
              <w:jc w:val="left"/>
              <w:textAlignment w:val="center"/>
              <w:outlineLvl w:val="9"/>
              <w:rPr>
                <w:rFonts w:hint="eastAsia" w:ascii="微软雅黑" w:hAnsi="微软雅黑" w:cs="微软雅黑"/>
                <w:color w:val="auto"/>
                <w:kern w:val="0"/>
                <w:sz w:val="18"/>
                <w:szCs w:val="18"/>
                <w:lang w:bidi="ar"/>
              </w:rPr>
            </w:pPr>
            <w:r>
              <w:rPr>
                <w:rFonts w:hint="eastAsia" w:ascii="微软雅黑" w:hAnsi="微软雅黑" w:cs="微软雅黑"/>
                <w:color w:val="auto"/>
                <w:kern w:val="0"/>
                <w:sz w:val="18"/>
                <w:szCs w:val="18"/>
                <w:lang w:bidi="ar"/>
              </w:rPr>
              <w:t>5）具体执行以教学系统最新信息为准。</w:t>
            </w:r>
          </w:p>
        </w:tc>
      </w:tr>
      <w:bookmarkEnd w:id="0"/>
      <w:bookmarkEnd w:id="1"/>
    </w:tbl>
    <w:p w14:paraId="31E24AD6">
      <w:pPr>
        <w:rPr>
          <w:rFonts w:hint="default"/>
          <w:lang w:eastAsia="zh-CN"/>
        </w:rPr>
      </w:pP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88F0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8A186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8A186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A3D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C8B2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90C8B2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3ADD8"/>
    <w:multiLevelType w:val="multilevel"/>
    <w:tmpl w:val="C873ADD8"/>
    <w:lvl w:ilvl="0" w:tentative="0">
      <w:start w:val="1"/>
      <w:numFmt w:val="japaneseCounting"/>
      <w:suff w:val="space"/>
      <w:lvlText w:val="%1、"/>
      <w:lvlJc w:val="left"/>
      <w:pPr>
        <w:ind w:left="375" w:hanging="375"/>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hZWU4ZmI5NDE1MTAwMGI5YjgxNDFlZTIwNTVhZjYifQ=="/>
  </w:docVars>
  <w:rsids>
    <w:rsidRoot w:val="1AA24D9F"/>
    <w:rsid w:val="016A0312"/>
    <w:rsid w:val="01DE1773"/>
    <w:rsid w:val="01F53827"/>
    <w:rsid w:val="047D34C5"/>
    <w:rsid w:val="04F07245"/>
    <w:rsid w:val="05D318A2"/>
    <w:rsid w:val="07011CC2"/>
    <w:rsid w:val="07644792"/>
    <w:rsid w:val="07CB0D48"/>
    <w:rsid w:val="08393E4B"/>
    <w:rsid w:val="09284798"/>
    <w:rsid w:val="0B3B1FA1"/>
    <w:rsid w:val="0BFA45AB"/>
    <w:rsid w:val="0CAA1606"/>
    <w:rsid w:val="0ED879FC"/>
    <w:rsid w:val="0F2B6FD9"/>
    <w:rsid w:val="0F8274D1"/>
    <w:rsid w:val="11590BE0"/>
    <w:rsid w:val="11E608FC"/>
    <w:rsid w:val="14E310AE"/>
    <w:rsid w:val="15156D63"/>
    <w:rsid w:val="15CC0255"/>
    <w:rsid w:val="16F20EE6"/>
    <w:rsid w:val="177A742D"/>
    <w:rsid w:val="183741AA"/>
    <w:rsid w:val="183C240D"/>
    <w:rsid w:val="18CA3609"/>
    <w:rsid w:val="19536487"/>
    <w:rsid w:val="19AE222D"/>
    <w:rsid w:val="1AA24D9F"/>
    <w:rsid w:val="1AA51B47"/>
    <w:rsid w:val="1E69265C"/>
    <w:rsid w:val="20F77987"/>
    <w:rsid w:val="21045F1A"/>
    <w:rsid w:val="25A213E4"/>
    <w:rsid w:val="26D235C1"/>
    <w:rsid w:val="286835D5"/>
    <w:rsid w:val="28CC21F1"/>
    <w:rsid w:val="28DA2E89"/>
    <w:rsid w:val="29EE4F5D"/>
    <w:rsid w:val="2A4254F9"/>
    <w:rsid w:val="2C523658"/>
    <w:rsid w:val="2D1F32F4"/>
    <w:rsid w:val="2DE0049D"/>
    <w:rsid w:val="2F68739C"/>
    <w:rsid w:val="323B4D81"/>
    <w:rsid w:val="324E00CB"/>
    <w:rsid w:val="348957C0"/>
    <w:rsid w:val="34B70380"/>
    <w:rsid w:val="37781747"/>
    <w:rsid w:val="3AE174A3"/>
    <w:rsid w:val="3B477122"/>
    <w:rsid w:val="3C756DD6"/>
    <w:rsid w:val="3CAF061D"/>
    <w:rsid w:val="3D6F3FD5"/>
    <w:rsid w:val="3FA82888"/>
    <w:rsid w:val="3FC45529"/>
    <w:rsid w:val="40C64D89"/>
    <w:rsid w:val="411A6C50"/>
    <w:rsid w:val="43122A4F"/>
    <w:rsid w:val="43446334"/>
    <w:rsid w:val="435E52BB"/>
    <w:rsid w:val="43F15787"/>
    <w:rsid w:val="43F22B3C"/>
    <w:rsid w:val="44A84E71"/>
    <w:rsid w:val="46D27447"/>
    <w:rsid w:val="477DCE1E"/>
    <w:rsid w:val="4A2A2A05"/>
    <w:rsid w:val="4A81613F"/>
    <w:rsid w:val="4E544E1C"/>
    <w:rsid w:val="50167615"/>
    <w:rsid w:val="50936917"/>
    <w:rsid w:val="50CC3A9C"/>
    <w:rsid w:val="51AB6549"/>
    <w:rsid w:val="52E42775"/>
    <w:rsid w:val="5376076A"/>
    <w:rsid w:val="538F1479"/>
    <w:rsid w:val="547A0454"/>
    <w:rsid w:val="558A46C7"/>
    <w:rsid w:val="55C43F25"/>
    <w:rsid w:val="573E1E21"/>
    <w:rsid w:val="58AB1524"/>
    <w:rsid w:val="58B85E97"/>
    <w:rsid w:val="58E94269"/>
    <w:rsid w:val="594A4806"/>
    <w:rsid w:val="5967410F"/>
    <w:rsid w:val="59BD5491"/>
    <w:rsid w:val="59DE55FD"/>
    <w:rsid w:val="5A177DF2"/>
    <w:rsid w:val="5B487E91"/>
    <w:rsid w:val="5C02145B"/>
    <w:rsid w:val="5CF9550F"/>
    <w:rsid w:val="5DA12EF6"/>
    <w:rsid w:val="5DC4246B"/>
    <w:rsid w:val="5DF866B7"/>
    <w:rsid w:val="5EFEBDE8"/>
    <w:rsid w:val="60531C25"/>
    <w:rsid w:val="62643A48"/>
    <w:rsid w:val="633839B4"/>
    <w:rsid w:val="66D36594"/>
    <w:rsid w:val="675F517C"/>
    <w:rsid w:val="67C91D61"/>
    <w:rsid w:val="68CA2609"/>
    <w:rsid w:val="68CC1AED"/>
    <w:rsid w:val="69BB0F42"/>
    <w:rsid w:val="6A3D32E1"/>
    <w:rsid w:val="6A637494"/>
    <w:rsid w:val="6AA12AE2"/>
    <w:rsid w:val="6B8552BA"/>
    <w:rsid w:val="6BCF62E6"/>
    <w:rsid w:val="6CD3A16D"/>
    <w:rsid w:val="6D535020"/>
    <w:rsid w:val="6E5F49A6"/>
    <w:rsid w:val="6ED21161"/>
    <w:rsid w:val="6F5A2F04"/>
    <w:rsid w:val="6FFF37D2"/>
    <w:rsid w:val="70DE2EF1"/>
    <w:rsid w:val="71786CE9"/>
    <w:rsid w:val="72330169"/>
    <w:rsid w:val="740155BF"/>
    <w:rsid w:val="76182B9F"/>
    <w:rsid w:val="763B5B08"/>
    <w:rsid w:val="77477D12"/>
    <w:rsid w:val="79541570"/>
    <w:rsid w:val="798C6B7D"/>
    <w:rsid w:val="79EE416C"/>
    <w:rsid w:val="7A17211E"/>
    <w:rsid w:val="7A8A30FA"/>
    <w:rsid w:val="7C5F4108"/>
    <w:rsid w:val="7CFD1C95"/>
    <w:rsid w:val="7D807FDA"/>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link w:val="30"/>
    <w:qFormat/>
    <w:uiPriority w:val="0"/>
    <w:pPr>
      <w:keepNext/>
      <w:keepLines/>
      <w:spacing w:before="260" w:beforeLines="0" w:beforeAutospacing="0" w:after="220" w:afterLines="0" w:afterAutospacing="0" w:line="360" w:lineRule="auto"/>
      <w:jc w:val="center"/>
      <w:outlineLvl w:val="0"/>
    </w:pPr>
    <w:rPr>
      <w:rFonts w:ascii="Arial" w:hAnsi="Arial"/>
      <w:kern w:val="44"/>
      <w:sz w:val="36"/>
    </w:rPr>
  </w:style>
  <w:style w:type="paragraph" w:styleId="3">
    <w:name w:val="heading 2"/>
    <w:basedOn w:val="1"/>
    <w:next w:val="1"/>
    <w:unhideWhenUsed/>
    <w:qFormat/>
    <w:uiPriority w:val="0"/>
    <w:pPr>
      <w:keepNext/>
      <w:keepLines/>
      <w:spacing w:beforeLines="0" w:beforeAutospacing="0" w:afterLines="0" w:afterAutospacing="0" w:line="360" w:lineRule="auto"/>
      <w:jc w:val="center"/>
      <w:outlineLvl w:val="1"/>
    </w:pPr>
    <w:rPr>
      <w:rFonts w:ascii="Arial" w:hAnsi="Arial"/>
      <w:b/>
      <w:sz w:val="30"/>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9">
    <w:name w:val="Default Paragraph Font"/>
    <w:qFormat/>
    <w:uiPriority w:val="0"/>
    <w:rPr>
      <w:rFonts w:eastAsia="微软雅黑" w:asciiTheme="minorAscii" w:hAnsiTheme="minorAscii"/>
    </w:rPr>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semiHidden/>
    <w:qFormat/>
    <w:uiPriority w:val="0"/>
    <w:rPr>
      <w:rFonts w:ascii="Arial" w:hAnsi="Arial" w:eastAsia="Arial" w:cs="Arial"/>
      <w:sz w:val="20"/>
      <w:szCs w:val="20"/>
      <w:lang w:val="en-US" w:eastAsia="en-US" w:bidi="ar-SA"/>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pPr>
      <w:spacing w:line="360" w:lineRule="auto"/>
      <w:jc w:val="center"/>
    </w:pPr>
    <w:rPr>
      <w:rFonts w:ascii="Arial" w:hAnsi="Arial" w:eastAsia="宋体"/>
      <w:sz w:val="28"/>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8">
    <w:name w:val="Table Grid"/>
    <w:basedOn w:val="17"/>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List Paragraph"/>
    <w:basedOn w:val="1"/>
    <w:qFormat/>
    <w:uiPriority w:val="34"/>
    <w:pPr>
      <w:ind w:firstLine="420" w:firstLineChars="200"/>
    </w:pPr>
  </w:style>
  <w:style w:type="character" w:customStyle="1" w:styleId="21">
    <w:name w:val="font31"/>
    <w:basedOn w:val="19"/>
    <w:qFormat/>
    <w:uiPriority w:val="0"/>
    <w:rPr>
      <w:rFonts w:hint="eastAsia" w:ascii="华文仿宋" w:hAnsi="华文仿宋" w:eastAsia="华文仿宋" w:cs="华文仿宋"/>
      <w:color w:val="000000"/>
      <w:sz w:val="21"/>
      <w:szCs w:val="21"/>
      <w:u w:val="none"/>
    </w:rPr>
  </w:style>
  <w:style w:type="character" w:customStyle="1" w:styleId="22">
    <w:name w:val="font41"/>
    <w:basedOn w:val="19"/>
    <w:qFormat/>
    <w:uiPriority w:val="0"/>
    <w:rPr>
      <w:rFonts w:hint="eastAsia" w:ascii="华文仿宋" w:hAnsi="华文仿宋" w:eastAsia="华文仿宋" w:cs="华文仿宋"/>
      <w:color w:val="000000"/>
      <w:sz w:val="20"/>
      <w:szCs w:val="20"/>
      <w:u w:val="none"/>
    </w:rPr>
  </w:style>
  <w:style w:type="table" w:customStyle="1" w:styleId="23">
    <w:name w:val="网格型1"/>
    <w:basedOn w:val="1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网格型2"/>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网格型3"/>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网格型4"/>
    <w:basedOn w:val="17"/>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font21"/>
    <w:basedOn w:val="19"/>
    <w:qFormat/>
    <w:uiPriority w:val="0"/>
    <w:rPr>
      <w:rFonts w:hint="eastAsia" w:ascii="等线" w:hAnsi="等线" w:eastAsia="等线" w:cs="等线"/>
      <w:color w:val="000000"/>
      <w:sz w:val="18"/>
      <w:szCs w:val="18"/>
      <w:u w:val="none"/>
    </w:rPr>
  </w:style>
  <w:style w:type="paragraph" w:customStyle="1" w:styleId="28">
    <w:name w:val="列表段落1"/>
    <w:basedOn w:val="1"/>
    <w:qFormat/>
    <w:uiPriority w:val="99"/>
    <w:pPr>
      <w:ind w:firstLine="420" w:firstLineChars="200"/>
    </w:pPr>
  </w:style>
  <w:style w:type="paragraph" w:customStyle="1" w:styleId="29">
    <w:name w:val="正文-无缩进"/>
    <w:basedOn w:val="1"/>
    <w:qFormat/>
    <w:uiPriority w:val="0"/>
    <w:pPr>
      <w:spacing w:before="0" w:beforeLines="0" w:after="0" w:afterLines="0"/>
      <w:ind w:firstLine="0" w:firstLineChars="0"/>
      <w:jc w:val="left"/>
    </w:pPr>
    <w:rPr>
      <w:rFonts w:ascii="宋体" w:hAnsi="宋体" w:cs="宋体"/>
      <w:szCs w:val="18"/>
    </w:rPr>
  </w:style>
  <w:style w:type="character" w:customStyle="1" w:styleId="30">
    <w:name w:val="标题 1 Char"/>
    <w:link w:val="2"/>
    <w:qFormat/>
    <w:uiPriority w:val="0"/>
    <w:rPr>
      <w:rFonts w:ascii="Arial" w:hAnsi="Arial" w:eastAsia="微软雅黑"/>
      <w:b/>
      <w:kern w:val="44"/>
      <w:sz w:val="36"/>
    </w:rPr>
  </w:style>
  <w:style w:type="paragraph" w:customStyle="1" w:styleId="31">
    <w:name w:val="列出段落1"/>
    <w:basedOn w:val="1"/>
    <w:autoRedefine/>
    <w:qFormat/>
    <w:uiPriority w:val="99"/>
    <w:pPr>
      <w:ind w:firstLine="420" w:firstLineChars="200"/>
    </w:pPr>
    <w:rPr>
      <w:rFonts w:ascii="Calibri" w:hAnsi="Calibri" w:cs="Calibri"/>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1949</Words>
  <Characters>2087</Characters>
  <Lines>0</Lines>
  <Paragraphs>0</Paragraphs>
  <TotalTime>5</TotalTime>
  <ScaleCrop>false</ScaleCrop>
  <LinksUpToDate>false</LinksUpToDate>
  <CharactersWithSpaces>2114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wangnan</dc:creator>
  <cp:lastModifiedBy>鱼鱼子</cp:lastModifiedBy>
  <dcterms:modified xsi:type="dcterms:W3CDTF">2025-07-08T03:11:08Z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eyJoZGlkIjoiODI5YmU4NzcwOTM0NjdhMWYyZGRlOGYzOTMyYjMzMTQiLCJ1c2VySWQiOiIyNDE4NDI4MzgifQ==</vt:lpwstr>
  </property>
  <property fmtid="{D5CDD505-2E9C-101B-9397-08002B2CF9AE}" pid="6" name="ICV">
    <vt:lpwstr>51D9561A97134D4587582775AF2812D4_13</vt:lpwstr>
  </property>
</Properties>
</file>