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143C2">
      <w:pPr>
        <w:pStyle w:val="2"/>
        <w:bidi w:val="0"/>
      </w:pPr>
      <w:r>
        <w:rPr>
          <w:rFonts w:hint="eastAsia"/>
        </w:rPr>
        <w:t>统计与数据科学学院数据科学</w:t>
      </w:r>
      <w:r>
        <w:t>专业</w:t>
      </w:r>
      <w:r>
        <w:rPr>
          <w:rFonts w:hint="eastAsia"/>
        </w:rPr>
        <w:t>2025级本科</w:t>
      </w:r>
      <w:r>
        <w:t>培养方案</w:t>
      </w:r>
    </w:p>
    <w:p w14:paraId="1901535A">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指导思想</w:t>
      </w:r>
    </w:p>
    <w:p w14:paraId="63D0B912">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按照上海财经大学章程的要求，数据科学依托国家“双一流”学科发展战略，加强数理计算能力和经济管理基础教学，实行专业教育和通识教育相结合，具有良好的数学、外语、经济学与统计学素养、人文精神、科学素养、国际视野、较强的创新精神和实践能力。</w:t>
      </w:r>
    </w:p>
    <w:p w14:paraId="5958DF9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实行“专通结合”和“复合型”人才教育，以增强数据科学毕业生的适应性；加强基础教学，拓宽专业口径；合理设置和安排课程体系，优化学生的知识结构；力求知识、能力和素质的协调发展，注重对学生综合素质的培养；积极推行创新教育，鼓励尖子人才脱颖而出。</w:t>
      </w:r>
    </w:p>
    <w:p w14:paraId="4185E3CB">
      <w:pPr>
        <w:pageBreakBefore w:val="0"/>
        <w:widowControl/>
        <w:kinsoku/>
        <w:wordWrap/>
        <w:overflowPunct/>
        <w:topLinePunct w:val="0"/>
        <w:autoSpaceDE/>
        <w:autoSpaceDN/>
        <w:bidi w:val="0"/>
        <w:adjustRightInd/>
        <w:snapToGrid/>
        <w:jc w:val="left"/>
        <w:outlineLvl w:val="9"/>
        <w:rPr>
          <w:rFonts w:ascii="Segoe UI" w:hAnsi="Segoe UI" w:eastAsia="宋体" w:cs="Segoe UI"/>
          <w:i/>
          <w:color w:val="auto"/>
          <w:kern w:val="0"/>
          <w:szCs w:val="21"/>
        </w:rPr>
      </w:pPr>
    </w:p>
    <w:p w14:paraId="4880B0F9">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培养目标</w:t>
      </w:r>
    </w:p>
    <w:p w14:paraId="4C738B1A">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数据科学专业以习近平新时代中国特色社会主义思想为指导，深入贯彻党的</w:t>
      </w:r>
      <w:r>
        <w:rPr>
          <w:rFonts w:hint="eastAsia" w:ascii="华文中宋" w:hAnsi="华文中宋" w:eastAsia="华文中宋" w:cs="华文中宋"/>
          <w:color w:val="auto"/>
          <w:kern w:val="0"/>
          <w:szCs w:val="21"/>
        </w:rPr>
        <w:t>二十</w:t>
      </w:r>
      <w:r>
        <w:rPr>
          <w:rFonts w:ascii="华文中宋" w:hAnsi="华文中宋" w:eastAsia="华文中宋" w:cs="华文中宋"/>
          <w:color w:val="auto"/>
          <w:kern w:val="0"/>
          <w:szCs w:val="21"/>
        </w:rPr>
        <w:t>大和全国教育大会精神，落实立德树人根本任务，坚持社会主义办学方向，服务国家战略需求，培养德智体美劳全面发展的社会主义建设者和接班人。</w:t>
      </w:r>
    </w:p>
    <w:p w14:paraId="07AC38F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本专业致力于培养具有扎实数学、统计学和计算机科学基础，系统掌握数据科学理论与方法，具备数据思维、创新能力以及良好政治素养、道德品质、职业伦理和</w:t>
      </w:r>
      <w:r>
        <w:rPr>
          <w:rFonts w:hint="eastAsia" w:ascii="华文中宋" w:hAnsi="华文中宋" w:eastAsia="华文中宋" w:cs="华文中宋"/>
          <w:color w:val="auto"/>
          <w:kern w:val="0"/>
          <w:szCs w:val="21"/>
        </w:rPr>
        <w:t>人工智能（</w:t>
      </w:r>
      <w:r>
        <w:rPr>
          <w:rFonts w:ascii="华文中宋" w:hAnsi="华文中宋" w:eastAsia="华文中宋" w:cs="华文中宋"/>
          <w:color w:val="auto"/>
          <w:kern w:val="0"/>
          <w:szCs w:val="21"/>
        </w:rPr>
        <w:t>AI</w:t>
      </w:r>
      <w:r>
        <w:rPr>
          <w:rFonts w:hint="eastAsia" w:ascii="华文中宋" w:hAnsi="华文中宋" w:eastAsia="华文中宋" w:cs="华文中宋"/>
          <w:color w:val="auto"/>
          <w:kern w:val="0"/>
          <w:szCs w:val="21"/>
        </w:rPr>
        <w:t>）</w:t>
      </w:r>
      <w:r>
        <w:rPr>
          <w:rFonts w:ascii="华文中宋" w:hAnsi="华文中宋" w:eastAsia="华文中宋" w:cs="华文中宋"/>
          <w:color w:val="auto"/>
          <w:kern w:val="0"/>
          <w:szCs w:val="21"/>
        </w:rPr>
        <w:t>素质的高素质复合型人才。学生应具备国际视野和跨文化交流能力，能够适应新时代科技发展需求。</w:t>
      </w:r>
    </w:p>
    <w:p w14:paraId="7512315F">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专业课程设置涵盖数学、统计学、计算机科学和数据科学核心课程，包括数据结构、算法设计、</w:t>
      </w:r>
      <w:r>
        <w:rPr>
          <w:rFonts w:hint="eastAsia" w:ascii="华文中宋" w:hAnsi="华文中宋" w:eastAsia="华文中宋" w:cs="华文中宋"/>
          <w:color w:val="auto"/>
          <w:kern w:val="0"/>
          <w:szCs w:val="21"/>
        </w:rPr>
        <w:t>数理统计和</w:t>
      </w:r>
      <w:r>
        <w:rPr>
          <w:rFonts w:ascii="华文中宋" w:hAnsi="华文中宋" w:eastAsia="华文中宋" w:cs="华文中宋"/>
          <w:color w:val="auto"/>
          <w:kern w:val="0"/>
          <w:szCs w:val="21"/>
        </w:rPr>
        <w:t>机器学习等。同时，学生需掌握一门外语，具备熟练的计算机软件应用能力和专业写作能力，并了解经济、金融等相关领域知识。为培养学生AI素</w:t>
      </w:r>
      <w:r>
        <w:rPr>
          <w:rFonts w:hint="eastAsia" w:ascii="华文中宋" w:hAnsi="华文中宋" w:eastAsia="华文中宋" w:cs="华文中宋"/>
          <w:color w:val="auto"/>
          <w:kern w:val="0"/>
          <w:szCs w:val="21"/>
          <w:lang w:val="en-US" w:eastAsia="zh-CN"/>
        </w:rPr>
        <w:t>养</w:t>
      </w:r>
      <w:r>
        <w:rPr>
          <w:rFonts w:ascii="华文中宋" w:hAnsi="华文中宋" w:eastAsia="华文中宋" w:cs="华文中宋"/>
          <w:color w:val="auto"/>
          <w:kern w:val="0"/>
          <w:szCs w:val="21"/>
        </w:rPr>
        <w:t>，</w:t>
      </w:r>
      <w:r>
        <w:rPr>
          <w:rFonts w:hint="eastAsia" w:ascii="华文中宋" w:hAnsi="华文中宋" w:eastAsia="华文中宋" w:cs="华文中宋"/>
          <w:color w:val="auto"/>
          <w:kern w:val="0"/>
          <w:szCs w:val="21"/>
          <w:lang w:val="en-US" w:eastAsia="zh-CN"/>
        </w:rPr>
        <w:t>本专业</w:t>
      </w:r>
      <w:r>
        <w:rPr>
          <w:rFonts w:ascii="华文中宋" w:hAnsi="华文中宋" w:eastAsia="华文中宋" w:cs="华文中宋"/>
          <w:color w:val="auto"/>
          <w:kern w:val="0"/>
          <w:szCs w:val="21"/>
        </w:rPr>
        <w:t>引入了人工智能基础、机器学习实战等课程，使学生能够掌握AI基本原理和应用技巧。</w:t>
      </w:r>
    </w:p>
    <w:p w14:paraId="55FCFAF4">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本专业注重培养学生的逻辑思维、独立思考和创新应用能力，通过实践教学和科研训练，使学生能够运用数据科学和AI知识解决实际问题。毕业生可在经济、金融、互联网、人工智能等领域从事数据分析、算法开发、数据管理等工作，或继续深造攻读相关专业硕士、博士学位，为社会主义现代化建设贡献力量。</w:t>
      </w:r>
    </w:p>
    <w:p w14:paraId="65343CC7">
      <w:pPr>
        <w:pageBreakBefore w:val="0"/>
        <w:widowControl/>
        <w:kinsoku/>
        <w:wordWrap/>
        <w:overflowPunct/>
        <w:topLinePunct w:val="0"/>
        <w:autoSpaceDE/>
        <w:autoSpaceDN/>
        <w:bidi w:val="0"/>
        <w:adjustRightInd/>
        <w:snapToGrid/>
        <w:jc w:val="left"/>
        <w:outlineLvl w:val="9"/>
        <w:rPr>
          <w:rFonts w:ascii="宋体" w:hAnsi="宋体" w:eastAsia="宋体" w:cs="Segoe UI"/>
          <w:b/>
          <w:bCs/>
          <w:i/>
          <w:color w:val="auto"/>
          <w:kern w:val="0"/>
          <w:szCs w:val="21"/>
          <w:u w:val="single"/>
        </w:rPr>
      </w:pPr>
    </w:p>
    <w:p w14:paraId="200C8BD7">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培养要求</w:t>
      </w:r>
    </w:p>
    <w:p w14:paraId="4A04C2D0">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本专业本科学生，通过在校学习，在思想政治、专业知识和人品素质等方面应达到以下要求：</w:t>
      </w:r>
    </w:p>
    <w:p w14:paraId="5B256D88">
      <w:pPr>
        <w:keepNext w:val="0"/>
        <w:keepLines w:val="0"/>
        <w:pageBreakBefore w:val="0"/>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312"/>
        </w:tabs>
        <w:kinsoku/>
        <w:wordWrap/>
        <w:overflowPunct/>
        <w:topLinePunct w:val="0"/>
        <w:autoSpaceDE/>
        <w:autoSpaceDN/>
        <w:bidi w:val="0"/>
        <w:adjustRightInd/>
        <w:snapToGrid/>
        <w:ind w:firstLine="420" w:firstLineChars="200"/>
        <w:jc w:val="left"/>
        <w:textAlignment w:val="auto"/>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道德与品德修养：具有坚定的社会主义信念，热爱祖国和人民，树立正确的世界观、人生观和价值观，具有良好的社会责任感和团队合作精神。同时，应具备诚信意识和法治观念，遵守社会公德和职业道德规范，成为德智体美劳全面发展的社会主义建设者和接班人。</w:t>
      </w:r>
    </w:p>
    <w:p w14:paraId="68C07F75">
      <w:pPr>
        <w:keepNext w:val="0"/>
        <w:keepLines w:val="0"/>
        <w:pageBreakBefore w:val="0"/>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312"/>
        </w:tabs>
        <w:kinsoku/>
        <w:wordWrap/>
        <w:overflowPunct/>
        <w:topLinePunct w:val="0"/>
        <w:autoSpaceDE/>
        <w:autoSpaceDN/>
        <w:bidi w:val="0"/>
        <w:adjustRightInd/>
        <w:snapToGrid/>
        <w:ind w:firstLine="420" w:firstLineChars="200"/>
        <w:jc w:val="left"/>
        <w:textAlignment w:val="auto"/>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知识结构与理论基础：具有数学、统计学、计算机科学和数据科学等领域的基础知识，深入理解数据科学的基本原理、算法和方法，掌握数据分析和机器学习的核心技术，为解决实际问题提供坚实的理论支撑。</w:t>
      </w:r>
    </w:p>
    <w:p w14:paraId="0002621C">
      <w:pPr>
        <w:keepNext w:val="0"/>
        <w:keepLines w:val="0"/>
        <w:pageBreakBefore w:val="0"/>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312"/>
        </w:tabs>
        <w:kinsoku/>
        <w:wordWrap/>
        <w:overflowPunct/>
        <w:topLinePunct w:val="0"/>
        <w:autoSpaceDE/>
        <w:autoSpaceDN/>
        <w:bidi w:val="0"/>
        <w:adjustRightInd/>
        <w:snapToGrid/>
        <w:ind w:firstLine="420" w:firstLineChars="200"/>
        <w:jc w:val="left"/>
        <w:textAlignment w:val="auto"/>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专业能力与综合素质：具备良好的编程能力，至少掌握一种编程语言，如Python、R等，能够进行数据处理、分析和可视化。具备良好的数据分析能力，能够从复杂的数据中提取有价值的信息，为决策提供支持。</w:t>
      </w:r>
    </w:p>
    <w:p w14:paraId="68649116">
      <w:pPr>
        <w:keepNext w:val="0"/>
        <w:keepLines w:val="0"/>
        <w:pageBreakBefore w:val="0"/>
        <w:widowControl/>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312"/>
        </w:tabs>
        <w:kinsoku/>
        <w:wordWrap/>
        <w:overflowPunct/>
        <w:topLinePunct w:val="0"/>
        <w:autoSpaceDE/>
        <w:autoSpaceDN/>
        <w:bidi w:val="0"/>
        <w:adjustRightInd/>
        <w:snapToGrid/>
        <w:ind w:firstLine="420" w:firstLineChars="200"/>
        <w:jc w:val="left"/>
        <w:textAlignment w:val="auto"/>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实践应用与创新精神：能够熟练运用现代统计分析技术、计算机统计软件及大数据处理技术，解决不同领域的实际问题，并具备跨学科沟通与合作的能力。同时，具备创新精神，勇于探索未知领域，敢于提出新观点和新方法。</w:t>
      </w:r>
    </w:p>
    <w:p w14:paraId="2BE4EBF1">
      <w:pPr>
        <w:pageBreakBefore w:val="0"/>
        <w:widowControl/>
        <w:numPr>
          <w:ilvl w:val="0"/>
          <w:numId w:val="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left"/>
        <w:outlineLvl w:val="9"/>
        <w:rPr>
          <w:rFonts w:hint="eastAsia" w:ascii="华文中宋" w:hAnsi="华文中宋" w:eastAsia="华文中宋" w:cs="华文中宋"/>
          <w:color w:val="auto"/>
          <w:kern w:val="0"/>
          <w:szCs w:val="21"/>
        </w:rPr>
      </w:pPr>
    </w:p>
    <w:p w14:paraId="3FBF0724">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培养计划</w:t>
      </w:r>
    </w:p>
    <w:p w14:paraId="1E81B47D">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I、</w:t>
      </w:r>
      <w:r>
        <w:rPr>
          <w:b/>
          <w:bCs/>
          <w:color w:val="auto"/>
          <w:szCs w:val="21"/>
        </w:rPr>
        <w:t xml:space="preserve">课程设置与修读要求 : </w:t>
      </w:r>
    </w:p>
    <w:p w14:paraId="70F5F307">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（一）通识教育模块（46学分）</w:t>
      </w:r>
    </w:p>
    <w:p w14:paraId="267948A8">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通识教育</w:t>
      </w:r>
      <w:r>
        <w:rPr>
          <w:rFonts w:hint="eastAsia"/>
          <w:color w:val="auto"/>
          <w:szCs w:val="21"/>
        </w:rPr>
        <w:t>模块</w:t>
      </w:r>
      <w:r>
        <w:rPr>
          <w:color w:val="auto"/>
          <w:szCs w:val="21"/>
        </w:rPr>
        <w:t>包括</w:t>
      </w:r>
      <w:r>
        <w:rPr>
          <w:rFonts w:hint="eastAsia"/>
          <w:color w:val="auto"/>
          <w:szCs w:val="21"/>
        </w:rPr>
        <w:t>通识教育核心课程</w:t>
      </w:r>
      <w:r>
        <w:rPr>
          <w:color w:val="auto"/>
          <w:szCs w:val="21"/>
        </w:rPr>
        <w:t xml:space="preserve">和专项教育课程。 </w:t>
      </w:r>
    </w:p>
    <w:p w14:paraId="15E52B47">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1.通识教育核心课程（23学分）</w:t>
      </w:r>
    </w:p>
    <w:p w14:paraId="13B9F8E5">
      <w:pPr>
        <w:pageBreakBefore w:val="0"/>
        <w:kinsoku/>
        <w:wordWrap/>
        <w:overflowPunct/>
        <w:topLinePunct w:val="0"/>
        <w:autoSpaceDE/>
        <w:autoSpaceDN/>
        <w:bidi w:val="0"/>
        <w:adjustRightInd/>
        <w:snapToGrid/>
        <w:ind w:firstLine="420" w:firstLineChars="200"/>
        <w:outlineLvl w:val="9"/>
        <w:rPr>
          <w:rFonts w:asciiTheme="minorHAnsi" w:hAnsiTheme="minorHAnsi" w:eastAsiaTheme="minorEastAsia" w:cstheme="minorBidi"/>
          <w:color w:val="auto"/>
          <w:szCs w:val="21"/>
        </w:rPr>
      </w:pPr>
      <w:r>
        <w:rPr>
          <w:color w:val="auto"/>
          <w:szCs w:val="21"/>
        </w:rPr>
        <w:t>要求修读 2</w:t>
      </w:r>
      <w:r>
        <w:rPr>
          <w:rFonts w:hint="eastAsia"/>
          <w:color w:val="auto"/>
          <w:szCs w:val="21"/>
        </w:rPr>
        <w:t>3</w:t>
      </w:r>
      <w:r>
        <w:rPr>
          <w:color w:val="auto"/>
          <w:szCs w:val="21"/>
        </w:rPr>
        <w:t xml:space="preserve"> 学分，含思想政治理论课 1</w:t>
      </w:r>
      <w:r>
        <w:rPr>
          <w:rFonts w:hint="eastAsia"/>
          <w:color w:val="auto"/>
          <w:szCs w:val="21"/>
        </w:rPr>
        <w:t>5</w:t>
      </w:r>
      <w:r>
        <w:rPr>
          <w:color w:val="auto"/>
          <w:szCs w:val="21"/>
        </w:rPr>
        <w:t xml:space="preserve"> 学分，</w:t>
      </w:r>
      <w:r>
        <w:rPr>
          <w:rFonts w:hint="eastAsia"/>
          <w:color w:val="auto"/>
          <w:szCs w:val="21"/>
        </w:rPr>
        <w:t>通识限选</w:t>
      </w:r>
      <w:r>
        <w:rPr>
          <w:color w:val="auto"/>
          <w:szCs w:val="21"/>
        </w:rPr>
        <w:t>七大模块课程</w:t>
      </w:r>
      <w:r>
        <w:rPr>
          <w:rFonts w:hint="eastAsia"/>
          <w:color w:val="auto"/>
          <w:szCs w:val="21"/>
        </w:rPr>
        <w:t>8</w:t>
      </w:r>
      <w:r>
        <w:rPr>
          <w:color w:val="auto"/>
          <w:szCs w:val="21"/>
        </w:rPr>
        <w:t>学分（</w:t>
      </w:r>
      <w:r>
        <w:rPr>
          <w:rFonts w:hint="eastAsia"/>
          <w:color w:val="auto"/>
          <w:szCs w:val="21"/>
        </w:rPr>
        <w:t>七个模块中任选四个修读</w:t>
      </w:r>
      <w:r>
        <w:rPr>
          <w:color w:val="auto"/>
          <w:szCs w:val="21"/>
        </w:rPr>
        <w:t>），</w:t>
      </w:r>
      <w:r>
        <w:rPr>
          <w:rFonts w:hint="eastAsia"/>
          <w:color w:val="auto"/>
          <w:szCs w:val="21"/>
        </w:rPr>
        <w:t>具体要求</w:t>
      </w:r>
      <w:r>
        <w:rPr>
          <w:color w:val="auto"/>
          <w:szCs w:val="21"/>
        </w:rPr>
        <w:t>详见通识限选七大模块课程培养方案</w:t>
      </w:r>
      <w:r>
        <w:rPr>
          <w:rFonts w:hint="eastAsia"/>
          <w:color w:val="auto"/>
          <w:szCs w:val="21"/>
        </w:rPr>
        <w:t>和本</w:t>
      </w:r>
      <w:r>
        <w:rPr>
          <w:color w:val="auto"/>
          <w:szCs w:val="21"/>
        </w:rPr>
        <w:t xml:space="preserve">专业修读建议。 </w:t>
      </w:r>
    </w:p>
    <w:p w14:paraId="608E2236">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2.</w:t>
      </w:r>
      <w:r>
        <w:rPr>
          <w:rFonts w:hint="eastAsia"/>
          <w:b/>
          <w:bCs/>
          <w:color w:val="auto"/>
          <w:szCs w:val="21"/>
        </w:rPr>
        <w:t>专项教育课程（23学分）</w:t>
      </w:r>
    </w:p>
    <w:p w14:paraId="47C35439">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要求修读</w:t>
      </w:r>
      <w:r>
        <w:rPr>
          <w:rFonts w:hint="eastAsia"/>
          <w:color w:val="auto"/>
          <w:szCs w:val="21"/>
        </w:rPr>
        <w:t>23</w:t>
      </w:r>
      <w:r>
        <w:rPr>
          <w:color w:val="auto"/>
          <w:szCs w:val="21"/>
        </w:rPr>
        <w:t>学分，</w:t>
      </w:r>
      <w:r>
        <w:rPr>
          <w:rFonts w:hint="eastAsia"/>
          <w:color w:val="auto"/>
          <w:szCs w:val="21"/>
        </w:rPr>
        <w:t>具体要求</w:t>
      </w:r>
      <w:r>
        <w:rPr>
          <w:color w:val="auto"/>
          <w:szCs w:val="21"/>
        </w:rPr>
        <w:t>详见</w:t>
      </w:r>
      <w:r>
        <w:rPr>
          <w:rFonts w:hint="eastAsia"/>
          <w:color w:val="auto"/>
          <w:szCs w:val="21"/>
        </w:rPr>
        <w:t>各</w:t>
      </w:r>
      <w:r>
        <w:rPr>
          <w:color w:val="auto"/>
          <w:szCs w:val="21"/>
        </w:rPr>
        <w:t>专项教育</w:t>
      </w:r>
      <w:r>
        <w:rPr>
          <w:rFonts w:hint="eastAsia"/>
          <w:color w:val="auto"/>
          <w:szCs w:val="21"/>
        </w:rPr>
        <w:t>培养方案和本</w:t>
      </w:r>
      <w:r>
        <w:rPr>
          <w:color w:val="auto"/>
          <w:szCs w:val="21"/>
        </w:rPr>
        <w:t xml:space="preserve">专业修读建议。 </w:t>
      </w:r>
    </w:p>
    <w:p w14:paraId="2B82EA0C">
      <w:pPr>
        <w:pageBreakBefore w:val="0"/>
        <w:kinsoku/>
        <w:wordWrap/>
        <w:overflowPunct/>
        <w:topLinePunct w:val="0"/>
        <w:autoSpaceDE/>
        <w:autoSpaceDN/>
        <w:bidi w:val="0"/>
        <w:adjustRightInd/>
        <w:snapToGrid/>
        <w:ind w:firstLine="420" w:firstLineChars="200"/>
        <w:outlineLvl w:val="9"/>
        <w:rPr>
          <w:color w:val="auto"/>
          <w:szCs w:val="21"/>
        </w:rPr>
      </w:pPr>
    </w:p>
    <w:p w14:paraId="585991F2">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（二）专业培养模块 （60学分）</w:t>
      </w:r>
    </w:p>
    <w:p w14:paraId="7F40C49B">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专业培养</w:t>
      </w:r>
      <w:r>
        <w:rPr>
          <w:rFonts w:hint="eastAsia"/>
          <w:color w:val="auto"/>
          <w:szCs w:val="21"/>
        </w:rPr>
        <w:t>模块</w:t>
      </w:r>
      <w:r>
        <w:rPr>
          <w:color w:val="auto"/>
          <w:szCs w:val="21"/>
        </w:rPr>
        <w:t>包括</w:t>
      </w:r>
      <w:r>
        <w:rPr>
          <w:rFonts w:hint="eastAsia"/>
          <w:color w:val="auto"/>
          <w:szCs w:val="21"/>
        </w:rPr>
        <w:t>学科共同</w:t>
      </w:r>
      <w:r>
        <w:rPr>
          <w:color w:val="auto"/>
          <w:szCs w:val="21"/>
        </w:rPr>
        <w:t>课和专业</w:t>
      </w:r>
      <w:r>
        <w:rPr>
          <w:rFonts w:hint="eastAsia"/>
          <w:color w:val="auto"/>
          <w:szCs w:val="21"/>
        </w:rPr>
        <w:t>基础</w:t>
      </w:r>
      <w:r>
        <w:rPr>
          <w:color w:val="auto"/>
          <w:szCs w:val="21"/>
        </w:rPr>
        <w:t xml:space="preserve">课。 </w:t>
      </w:r>
    </w:p>
    <w:p w14:paraId="72C36A63">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1.学科共同课（31学分）</w:t>
      </w:r>
    </w:p>
    <w:p w14:paraId="4DD55060">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课程设置</w:t>
      </w:r>
      <w:r>
        <w:rPr>
          <w:rFonts w:hint="eastAsia"/>
          <w:color w:val="auto"/>
          <w:szCs w:val="21"/>
        </w:rPr>
        <w:t>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860"/>
        <w:gridCol w:w="825"/>
        <w:gridCol w:w="1158"/>
        <w:gridCol w:w="717"/>
      </w:tblGrid>
      <w:tr w14:paraId="779A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0B7948D2">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860" w:type="dxa"/>
            <w:vAlign w:val="center"/>
          </w:tcPr>
          <w:p w14:paraId="46EB60E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825" w:type="dxa"/>
            <w:vAlign w:val="center"/>
          </w:tcPr>
          <w:p w14:paraId="4EF0613E">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58" w:type="dxa"/>
            <w:vAlign w:val="center"/>
          </w:tcPr>
          <w:p w14:paraId="76CF68A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0DEDD1EA">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2F13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7DF0DF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bookmarkStart w:id="0" w:name="OLE_LINK32" w:colFirst="2" w:colLast="2"/>
            <w:bookmarkStart w:id="1" w:name="OLE_LINK31" w:colFirst="0" w:colLast="0"/>
            <w:r>
              <w:rPr>
                <w:rFonts w:hint="eastAsia" w:ascii="等线" w:hAnsi="等线" w:eastAsia="等线" w:cs="等线"/>
                <w:color w:val="auto"/>
                <w:kern w:val="0"/>
                <w:sz w:val="18"/>
                <w:szCs w:val="18"/>
                <w:lang w:bidi="ar"/>
              </w:rPr>
              <w:t>数学分析I</w:t>
            </w:r>
          </w:p>
        </w:tc>
        <w:tc>
          <w:tcPr>
            <w:tcW w:w="1860" w:type="dxa"/>
            <w:shd w:val="clear" w:color="auto" w:fill="auto"/>
            <w:vAlign w:val="center"/>
          </w:tcPr>
          <w:p w14:paraId="13273B7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100693</w:t>
            </w:r>
          </w:p>
        </w:tc>
        <w:tc>
          <w:tcPr>
            <w:tcW w:w="825" w:type="dxa"/>
            <w:shd w:val="clear" w:color="auto" w:fill="auto"/>
            <w:vAlign w:val="center"/>
          </w:tcPr>
          <w:p w14:paraId="6320CDF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1158" w:type="dxa"/>
            <w:shd w:val="clear" w:color="auto" w:fill="auto"/>
            <w:vAlign w:val="center"/>
          </w:tcPr>
          <w:p w14:paraId="7C8A947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717" w:type="dxa"/>
            <w:vMerge w:val="restart"/>
            <w:shd w:val="clear" w:color="auto" w:fill="auto"/>
            <w:vAlign w:val="center"/>
          </w:tcPr>
          <w:p w14:paraId="6B6E45E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必修</w:t>
            </w:r>
          </w:p>
          <w:p w14:paraId="007BF93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08E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453808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数学分析II</w:t>
            </w:r>
          </w:p>
        </w:tc>
        <w:tc>
          <w:tcPr>
            <w:tcW w:w="1860" w:type="dxa"/>
            <w:shd w:val="clear" w:color="auto" w:fill="auto"/>
            <w:vAlign w:val="center"/>
          </w:tcPr>
          <w:p w14:paraId="3277A84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105308</w:t>
            </w:r>
          </w:p>
        </w:tc>
        <w:tc>
          <w:tcPr>
            <w:tcW w:w="825" w:type="dxa"/>
            <w:shd w:val="clear" w:color="auto" w:fill="auto"/>
            <w:vAlign w:val="center"/>
          </w:tcPr>
          <w:p w14:paraId="337FA8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6</w:t>
            </w:r>
          </w:p>
        </w:tc>
        <w:tc>
          <w:tcPr>
            <w:tcW w:w="1158" w:type="dxa"/>
            <w:shd w:val="clear" w:color="auto" w:fill="auto"/>
            <w:vAlign w:val="center"/>
          </w:tcPr>
          <w:p w14:paraId="436D9D7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tcPr>
          <w:p w14:paraId="5F3E354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D97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649ECE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数学分析III</w:t>
            </w:r>
          </w:p>
        </w:tc>
        <w:tc>
          <w:tcPr>
            <w:tcW w:w="1860" w:type="dxa"/>
            <w:shd w:val="clear" w:color="auto" w:fill="auto"/>
            <w:vAlign w:val="center"/>
          </w:tcPr>
          <w:p w14:paraId="4D12D52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105309</w:t>
            </w:r>
          </w:p>
        </w:tc>
        <w:tc>
          <w:tcPr>
            <w:tcW w:w="825" w:type="dxa"/>
            <w:shd w:val="clear" w:color="auto" w:fill="auto"/>
            <w:vAlign w:val="center"/>
          </w:tcPr>
          <w:p w14:paraId="6688149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1158" w:type="dxa"/>
            <w:shd w:val="clear" w:color="auto" w:fill="auto"/>
            <w:vAlign w:val="center"/>
          </w:tcPr>
          <w:p w14:paraId="0D8A62B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717" w:type="dxa"/>
            <w:vMerge w:val="continue"/>
            <w:shd w:val="clear" w:color="auto" w:fill="auto"/>
          </w:tcPr>
          <w:p w14:paraId="10F8A32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F76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1834C1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概率论</w:t>
            </w:r>
          </w:p>
        </w:tc>
        <w:tc>
          <w:tcPr>
            <w:tcW w:w="1860" w:type="dxa"/>
            <w:shd w:val="clear" w:color="auto" w:fill="auto"/>
            <w:vAlign w:val="center"/>
          </w:tcPr>
          <w:p w14:paraId="150A82E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105494</w:t>
            </w:r>
          </w:p>
        </w:tc>
        <w:tc>
          <w:tcPr>
            <w:tcW w:w="825" w:type="dxa"/>
            <w:shd w:val="clear" w:color="auto" w:fill="auto"/>
            <w:vAlign w:val="center"/>
          </w:tcPr>
          <w:p w14:paraId="4F4C46A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3C4089F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717" w:type="dxa"/>
            <w:vMerge w:val="continue"/>
            <w:shd w:val="clear" w:color="auto" w:fill="auto"/>
            <w:vAlign w:val="center"/>
          </w:tcPr>
          <w:p w14:paraId="12F9427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AF0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2E449C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数理统计</w:t>
            </w:r>
          </w:p>
        </w:tc>
        <w:tc>
          <w:tcPr>
            <w:tcW w:w="1860" w:type="dxa"/>
            <w:shd w:val="clear" w:color="auto" w:fill="auto"/>
            <w:vAlign w:val="center"/>
          </w:tcPr>
          <w:p w14:paraId="0AEF847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102480</w:t>
            </w:r>
          </w:p>
        </w:tc>
        <w:tc>
          <w:tcPr>
            <w:tcW w:w="825" w:type="dxa"/>
            <w:shd w:val="clear" w:color="auto" w:fill="auto"/>
            <w:vAlign w:val="center"/>
          </w:tcPr>
          <w:p w14:paraId="21B9273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572247F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717" w:type="dxa"/>
            <w:vMerge w:val="continue"/>
            <w:shd w:val="clear" w:color="auto" w:fill="auto"/>
            <w:vAlign w:val="center"/>
          </w:tcPr>
          <w:p w14:paraId="59303F1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787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A120AF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计算机编程</w:t>
            </w:r>
          </w:p>
        </w:tc>
        <w:tc>
          <w:tcPr>
            <w:tcW w:w="1860" w:type="dxa"/>
            <w:shd w:val="clear" w:color="auto" w:fill="auto"/>
            <w:vAlign w:val="center"/>
          </w:tcPr>
          <w:p w14:paraId="013BA0C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101828</w:t>
            </w:r>
          </w:p>
        </w:tc>
        <w:tc>
          <w:tcPr>
            <w:tcW w:w="825" w:type="dxa"/>
            <w:shd w:val="clear" w:color="auto" w:fill="auto"/>
            <w:vAlign w:val="center"/>
          </w:tcPr>
          <w:p w14:paraId="67933C6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1681BE1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vAlign w:val="center"/>
          </w:tcPr>
          <w:p w14:paraId="0A659EB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344D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B6757F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高等代数I</w:t>
            </w:r>
          </w:p>
        </w:tc>
        <w:tc>
          <w:tcPr>
            <w:tcW w:w="1860" w:type="dxa"/>
            <w:shd w:val="clear" w:color="auto" w:fill="auto"/>
            <w:vAlign w:val="center"/>
          </w:tcPr>
          <w:p w14:paraId="36A7911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103298</w:t>
            </w:r>
          </w:p>
        </w:tc>
        <w:tc>
          <w:tcPr>
            <w:tcW w:w="825" w:type="dxa"/>
            <w:shd w:val="clear" w:color="auto" w:fill="auto"/>
            <w:vAlign w:val="center"/>
          </w:tcPr>
          <w:p w14:paraId="5576668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3A47A82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717" w:type="dxa"/>
            <w:vMerge w:val="continue"/>
            <w:shd w:val="clear" w:color="auto" w:fill="auto"/>
            <w:vAlign w:val="center"/>
          </w:tcPr>
          <w:p w14:paraId="6A0A9D9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F03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2D34DE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高等代数II</w:t>
            </w:r>
          </w:p>
        </w:tc>
        <w:tc>
          <w:tcPr>
            <w:tcW w:w="1860" w:type="dxa"/>
            <w:shd w:val="clear" w:color="auto" w:fill="auto"/>
            <w:vAlign w:val="center"/>
          </w:tcPr>
          <w:p w14:paraId="4F5FB0C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103299</w:t>
            </w:r>
          </w:p>
        </w:tc>
        <w:tc>
          <w:tcPr>
            <w:tcW w:w="825" w:type="dxa"/>
            <w:shd w:val="clear" w:color="auto" w:fill="auto"/>
            <w:vAlign w:val="center"/>
          </w:tcPr>
          <w:p w14:paraId="250E1F7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29DA935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717" w:type="dxa"/>
            <w:vMerge w:val="continue"/>
            <w:shd w:val="clear" w:color="auto" w:fill="auto"/>
            <w:vAlign w:val="center"/>
          </w:tcPr>
          <w:p w14:paraId="415257E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bookmarkEnd w:id="0"/>
      <w:bookmarkEnd w:id="1"/>
    </w:tbl>
    <w:p w14:paraId="02E53A4F">
      <w:pPr>
        <w:pageBreakBefore w:val="0"/>
        <w:kinsoku/>
        <w:wordWrap/>
        <w:overflowPunct/>
        <w:topLinePunct w:val="0"/>
        <w:autoSpaceDE/>
        <w:autoSpaceDN/>
        <w:bidi w:val="0"/>
        <w:adjustRightInd/>
        <w:snapToGrid/>
        <w:outlineLvl w:val="9"/>
        <w:rPr>
          <w:color w:val="auto"/>
          <w:szCs w:val="21"/>
        </w:rPr>
      </w:pPr>
    </w:p>
    <w:p w14:paraId="2EFA9F79">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2.专业基础课（29学分）</w:t>
      </w:r>
    </w:p>
    <w:p w14:paraId="5FC4B654">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课程</w:t>
      </w:r>
      <w:r>
        <w:rPr>
          <w:color w:val="auto"/>
          <w:szCs w:val="21"/>
        </w:rPr>
        <w:t>设置如下：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875"/>
        <w:gridCol w:w="810"/>
        <w:gridCol w:w="1158"/>
        <w:gridCol w:w="717"/>
      </w:tblGrid>
      <w:tr w14:paraId="6C11A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1893AF6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875" w:type="dxa"/>
            <w:vAlign w:val="center"/>
          </w:tcPr>
          <w:p w14:paraId="74BCB1B2">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810" w:type="dxa"/>
            <w:vAlign w:val="center"/>
          </w:tcPr>
          <w:p w14:paraId="05F9EB1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58" w:type="dxa"/>
            <w:vAlign w:val="center"/>
          </w:tcPr>
          <w:p w14:paraId="5FBD44F2">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7B0AE575">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683D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C8483B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数据库</w:t>
            </w:r>
          </w:p>
        </w:tc>
        <w:tc>
          <w:tcPr>
            <w:tcW w:w="1875" w:type="dxa"/>
            <w:shd w:val="clear" w:color="auto" w:fill="auto"/>
            <w:vAlign w:val="center"/>
          </w:tcPr>
          <w:p w14:paraId="02BE61A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105508</w:t>
            </w:r>
          </w:p>
        </w:tc>
        <w:tc>
          <w:tcPr>
            <w:tcW w:w="810" w:type="dxa"/>
            <w:shd w:val="clear" w:color="auto" w:fill="auto"/>
            <w:vAlign w:val="center"/>
          </w:tcPr>
          <w:p w14:paraId="5CB4C02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1D3C370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restart"/>
            <w:shd w:val="clear" w:color="auto" w:fill="auto"/>
            <w:vAlign w:val="center"/>
          </w:tcPr>
          <w:p w14:paraId="31E98FC5">
            <w:pPr>
              <w:pageBreakBefore w:val="0"/>
              <w:kinsoku/>
              <w:wordWrap/>
              <w:overflowPunct/>
              <w:topLinePunct w:val="0"/>
              <w:autoSpaceDE/>
              <w:autoSpaceDN/>
              <w:bidi w:val="0"/>
              <w:adjustRightInd/>
              <w:snapToGrid/>
              <w:jc w:val="both"/>
              <w:outlineLvl w:val="9"/>
              <w:rPr>
                <w:rFonts w:ascii="黑体" w:hAnsi="黑体" w:eastAsia="黑体" w:cs="黑体"/>
                <w:b/>
                <w:bCs/>
                <w:color w:val="auto"/>
                <w:szCs w:val="21"/>
              </w:rPr>
            </w:pPr>
            <w:r>
              <w:rPr>
                <w:rFonts w:hint="eastAsia" w:ascii="黑体" w:hAnsi="黑体" w:eastAsia="黑体" w:cs="黑体"/>
                <w:b/>
                <w:bCs/>
                <w:color w:val="auto"/>
                <w:szCs w:val="21"/>
              </w:rPr>
              <w:t>必修</w:t>
            </w:r>
          </w:p>
        </w:tc>
      </w:tr>
      <w:tr w14:paraId="3520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2C5FA8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数值计算与模拟</w:t>
            </w:r>
          </w:p>
        </w:tc>
        <w:tc>
          <w:tcPr>
            <w:tcW w:w="1875" w:type="dxa"/>
            <w:shd w:val="clear" w:color="auto" w:fill="auto"/>
            <w:vAlign w:val="center"/>
          </w:tcPr>
          <w:p w14:paraId="5028142F">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107479</w:t>
            </w:r>
          </w:p>
        </w:tc>
        <w:tc>
          <w:tcPr>
            <w:tcW w:w="810" w:type="dxa"/>
            <w:shd w:val="clear" w:color="auto" w:fill="auto"/>
            <w:vAlign w:val="center"/>
          </w:tcPr>
          <w:p w14:paraId="2C9B29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579189C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tcPr>
          <w:p w14:paraId="055F53D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CBC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91CBF5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机器学习</w:t>
            </w:r>
          </w:p>
        </w:tc>
        <w:tc>
          <w:tcPr>
            <w:tcW w:w="1875" w:type="dxa"/>
            <w:shd w:val="clear" w:color="auto" w:fill="auto"/>
            <w:vAlign w:val="center"/>
          </w:tcPr>
          <w:p w14:paraId="4EE481F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102689</w:t>
            </w:r>
          </w:p>
        </w:tc>
        <w:tc>
          <w:tcPr>
            <w:tcW w:w="810" w:type="dxa"/>
            <w:shd w:val="clear" w:color="auto" w:fill="auto"/>
            <w:vAlign w:val="center"/>
          </w:tcPr>
          <w:p w14:paraId="2F5B682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60B8791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tcPr>
          <w:p w14:paraId="2009382D">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8DE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3749FD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数据科学导论</w:t>
            </w:r>
          </w:p>
        </w:tc>
        <w:tc>
          <w:tcPr>
            <w:tcW w:w="1875" w:type="dxa"/>
            <w:shd w:val="clear" w:color="auto" w:fill="auto"/>
            <w:vAlign w:val="center"/>
          </w:tcPr>
          <w:p w14:paraId="7C25746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103275</w:t>
            </w:r>
          </w:p>
        </w:tc>
        <w:tc>
          <w:tcPr>
            <w:tcW w:w="810" w:type="dxa"/>
            <w:shd w:val="clear" w:color="auto" w:fill="auto"/>
            <w:vAlign w:val="center"/>
          </w:tcPr>
          <w:p w14:paraId="43EF066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43D4A05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4F18E38E">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371E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EF79A5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分布式计算</w:t>
            </w:r>
          </w:p>
        </w:tc>
        <w:tc>
          <w:tcPr>
            <w:tcW w:w="1875" w:type="dxa"/>
            <w:shd w:val="clear" w:color="auto" w:fill="auto"/>
            <w:vAlign w:val="center"/>
          </w:tcPr>
          <w:p w14:paraId="5BE96B4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103278</w:t>
            </w:r>
          </w:p>
        </w:tc>
        <w:tc>
          <w:tcPr>
            <w:tcW w:w="810" w:type="dxa"/>
            <w:shd w:val="clear" w:color="auto" w:fill="auto"/>
            <w:vAlign w:val="center"/>
          </w:tcPr>
          <w:p w14:paraId="24C645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656292B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1A30C5D">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C95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50FFC6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优化理论与方法</w:t>
            </w:r>
          </w:p>
        </w:tc>
        <w:tc>
          <w:tcPr>
            <w:tcW w:w="1875" w:type="dxa"/>
            <w:shd w:val="clear" w:color="auto" w:fill="auto"/>
            <w:vAlign w:val="center"/>
          </w:tcPr>
          <w:p w14:paraId="2153B54B">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107476</w:t>
            </w:r>
          </w:p>
        </w:tc>
        <w:tc>
          <w:tcPr>
            <w:tcW w:w="810" w:type="dxa"/>
            <w:shd w:val="clear" w:color="auto" w:fill="auto"/>
            <w:vAlign w:val="center"/>
          </w:tcPr>
          <w:p w14:paraId="235ED3F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07F67CC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61DB42A">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EF3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AE54D5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数据分析与可视化</w:t>
            </w:r>
          </w:p>
        </w:tc>
        <w:tc>
          <w:tcPr>
            <w:tcW w:w="1875" w:type="dxa"/>
            <w:shd w:val="clear" w:color="auto" w:fill="auto"/>
            <w:vAlign w:val="center"/>
          </w:tcPr>
          <w:p w14:paraId="29D5C98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103087</w:t>
            </w:r>
          </w:p>
        </w:tc>
        <w:tc>
          <w:tcPr>
            <w:tcW w:w="810" w:type="dxa"/>
            <w:shd w:val="clear" w:color="auto" w:fill="auto"/>
            <w:vAlign w:val="center"/>
          </w:tcPr>
          <w:p w14:paraId="09A0B9E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76088A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40B3DB6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A97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0AEAE8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深度学习</w:t>
            </w:r>
          </w:p>
        </w:tc>
        <w:tc>
          <w:tcPr>
            <w:tcW w:w="1875" w:type="dxa"/>
            <w:shd w:val="clear" w:color="auto" w:fill="auto"/>
            <w:vAlign w:val="center"/>
          </w:tcPr>
          <w:p w14:paraId="486A181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105503</w:t>
            </w:r>
          </w:p>
        </w:tc>
        <w:tc>
          <w:tcPr>
            <w:tcW w:w="810" w:type="dxa"/>
            <w:shd w:val="clear" w:color="auto" w:fill="auto"/>
            <w:vAlign w:val="center"/>
          </w:tcPr>
          <w:p w14:paraId="292AA97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64B3CBE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60A2A4C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3708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823FCA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文本挖掘技术</w:t>
            </w:r>
          </w:p>
        </w:tc>
        <w:tc>
          <w:tcPr>
            <w:tcW w:w="1875" w:type="dxa"/>
            <w:shd w:val="clear" w:color="auto" w:fill="auto"/>
            <w:vAlign w:val="center"/>
          </w:tcPr>
          <w:p w14:paraId="17A1C70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105510</w:t>
            </w:r>
          </w:p>
        </w:tc>
        <w:tc>
          <w:tcPr>
            <w:tcW w:w="810" w:type="dxa"/>
            <w:shd w:val="clear" w:color="auto" w:fill="auto"/>
            <w:vAlign w:val="center"/>
          </w:tcPr>
          <w:p w14:paraId="345E12C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58" w:type="dxa"/>
            <w:shd w:val="clear" w:color="auto" w:fill="auto"/>
            <w:vAlign w:val="center"/>
          </w:tcPr>
          <w:p w14:paraId="1802C94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3DEFE3E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493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E6AA3A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线性模型</w:t>
            </w:r>
          </w:p>
        </w:tc>
        <w:tc>
          <w:tcPr>
            <w:tcW w:w="1875" w:type="dxa"/>
            <w:shd w:val="clear" w:color="auto" w:fill="auto"/>
            <w:vAlign w:val="center"/>
          </w:tcPr>
          <w:p w14:paraId="6C14CB4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101410</w:t>
            </w:r>
          </w:p>
        </w:tc>
        <w:tc>
          <w:tcPr>
            <w:tcW w:w="810" w:type="dxa"/>
            <w:shd w:val="clear" w:color="auto" w:fill="auto"/>
            <w:vAlign w:val="center"/>
          </w:tcPr>
          <w:p w14:paraId="74C84B6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4302513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4AF282D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23A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9D51E9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数据结构</w:t>
            </w:r>
          </w:p>
        </w:tc>
        <w:tc>
          <w:tcPr>
            <w:tcW w:w="1875" w:type="dxa"/>
            <w:shd w:val="clear" w:color="auto" w:fill="auto"/>
            <w:vAlign w:val="center"/>
          </w:tcPr>
          <w:p w14:paraId="4003BE6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105506</w:t>
            </w:r>
          </w:p>
        </w:tc>
        <w:tc>
          <w:tcPr>
            <w:tcW w:w="810" w:type="dxa"/>
            <w:shd w:val="clear" w:color="auto" w:fill="auto"/>
            <w:vAlign w:val="center"/>
          </w:tcPr>
          <w:p w14:paraId="6AAD5C8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58" w:type="dxa"/>
            <w:shd w:val="clear" w:color="auto" w:fill="auto"/>
            <w:vAlign w:val="center"/>
          </w:tcPr>
          <w:p w14:paraId="17C457D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626B1CB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bl>
    <w:p w14:paraId="409B02FB">
      <w:pPr>
        <w:pageBreakBefore w:val="0"/>
        <w:kinsoku/>
        <w:wordWrap/>
        <w:overflowPunct/>
        <w:topLinePunct w:val="0"/>
        <w:autoSpaceDE/>
        <w:autoSpaceDN/>
        <w:bidi w:val="0"/>
        <w:adjustRightInd/>
        <w:snapToGrid/>
        <w:outlineLvl w:val="9"/>
        <w:rPr>
          <w:b/>
          <w:bCs/>
          <w:color w:val="auto"/>
          <w:szCs w:val="21"/>
        </w:rPr>
      </w:pPr>
    </w:p>
    <w:p w14:paraId="15CE2C28">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（三）个性化培养模块</w:t>
      </w:r>
    </w:p>
    <w:p w14:paraId="2180AD43">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包括</w:t>
      </w:r>
      <w:r>
        <w:rPr>
          <w:rFonts w:hint="eastAsia"/>
          <w:color w:val="auto"/>
          <w:szCs w:val="21"/>
        </w:rPr>
        <w:t>卓越（复合）型、创业型2种</w:t>
      </w:r>
      <w:r>
        <w:rPr>
          <w:color w:val="auto"/>
          <w:szCs w:val="21"/>
        </w:rPr>
        <w:t>不同路径</w:t>
      </w:r>
      <w:r>
        <w:rPr>
          <w:rFonts w:hint="eastAsia"/>
          <w:color w:val="auto"/>
          <w:szCs w:val="21"/>
        </w:rPr>
        <w:t>。</w:t>
      </w:r>
    </w:p>
    <w:p w14:paraId="608395B1">
      <w:pPr>
        <w:pageBreakBefore w:val="0"/>
        <w:kinsoku/>
        <w:wordWrap/>
        <w:overflowPunct/>
        <w:topLinePunct w:val="0"/>
        <w:autoSpaceDE/>
        <w:autoSpaceDN/>
        <w:bidi w:val="0"/>
        <w:adjustRightInd/>
        <w:snapToGrid/>
        <w:ind w:firstLine="422" w:firstLineChars="200"/>
        <w:outlineLvl w:val="9"/>
        <w:rPr>
          <w:rFonts w:ascii="宋体" w:hAnsi="宋体" w:eastAsia="宋体" w:cs="宋体"/>
          <w:b/>
          <w:bCs/>
          <w:color w:val="auto"/>
          <w:szCs w:val="21"/>
        </w:rPr>
      </w:pPr>
      <w:r>
        <w:rPr>
          <w:rFonts w:hint="eastAsia" w:ascii="宋体" w:hAnsi="宋体" w:eastAsia="宋体" w:cs="宋体"/>
          <w:b/>
          <w:bCs/>
          <w:color w:val="auto"/>
          <w:szCs w:val="21"/>
        </w:rPr>
        <w:t>个性化培养模块具体设置如下：</w:t>
      </w:r>
    </w:p>
    <w:tbl>
      <w:tblPr>
        <w:tblStyle w:val="17"/>
        <w:tblW w:w="7818" w:type="dxa"/>
        <w:jc w:val="center"/>
        <w:tblLayout w:type="autofit"/>
        <w:tblCellMar>
          <w:top w:w="0" w:type="dxa"/>
          <w:left w:w="108" w:type="dxa"/>
          <w:bottom w:w="0" w:type="dxa"/>
          <w:right w:w="108" w:type="dxa"/>
        </w:tblCellMar>
      </w:tblPr>
      <w:tblGrid>
        <w:gridCol w:w="1627"/>
        <w:gridCol w:w="1630"/>
        <w:gridCol w:w="905"/>
        <w:gridCol w:w="3656"/>
      </w:tblGrid>
      <w:tr w14:paraId="54A3E7CA">
        <w:tblPrEx>
          <w:tblCellMar>
            <w:top w:w="0" w:type="dxa"/>
            <w:left w:w="108" w:type="dxa"/>
            <w:bottom w:w="0" w:type="dxa"/>
            <w:right w:w="108" w:type="dxa"/>
          </w:tblCellMar>
        </w:tblPrEx>
        <w:trPr>
          <w:trHeight w:val="469" w:hRule="atLeast"/>
          <w:jc w:val="center"/>
        </w:trPr>
        <w:tc>
          <w:tcPr>
            <w:tcW w:w="3257" w:type="dxa"/>
            <w:gridSpan w:val="2"/>
            <w:tcBorders>
              <w:top w:val="single" w:color="000000" w:sz="8" w:space="0"/>
              <w:left w:val="single" w:color="000000" w:sz="8" w:space="0"/>
              <w:bottom w:val="single" w:color="000000" w:sz="8" w:space="0"/>
              <w:right w:val="single" w:color="000000" w:sz="8" w:space="0"/>
            </w:tcBorders>
            <w:shd w:val="clear" w:color="auto" w:fill="E7E6E6"/>
            <w:vAlign w:val="center"/>
          </w:tcPr>
          <w:p w14:paraId="3312838A">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课程模块名称</w:t>
            </w:r>
          </w:p>
        </w:tc>
        <w:tc>
          <w:tcPr>
            <w:tcW w:w="905" w:type="dxa"/>
            <w:tcBorders>
              <w:top w:val="single" w:color="000000" w:sz="8" w:space="0"/>
              <w:left w:val="nil"/>
              <w:bottom w:val="single" w:color="000000" w:sz="8" w:space="0"/>
              <w:right w:val="single" w:color="000000" w:sz="8" w:space="0"/>
            </w:tcBorders>
            <w:shd w:val="clear" w:color="auto" w:fill="E7E6E6"/>
            <w:vAlign w:val="center"/>
          </w:tcPr>
          <w:p w14:paraId="684D0F9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学分要求</w:t>
            </w:r>
          </w:p>
        </w:tc>
        <w:tc>
          <w:tcPr>
            <w:tcW w:w="3656" w:type="dxa"/>
            <w:tcBorders>
              <w:top w:val="single" w:color="000000" w:sz="8" w:space="0"/>
              <w:left w:val="nil"/>
              <w:bottom w:val="single" w:color="000000" w:sz="8" w:space="0"/>
              <w:right w:val="single" w:color="000000" w:sz="8" w:space="0"/>
            </w:tcBorders>
            <w:shd w:val="clear" w:color="auto" w:fill="E7E6E6"/>
            <w:vAlign w:val="center"/>
          </w:tcPr>
          <w:p w14:paraId="6F5CC2A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模块说明</w:t>
            </w:r>
          </w:p>
        </w:tc>
      </w:tr>
      <w:tr w14:paraId="76C51598">
        <w:tblPrEx>
          <w:tblCellMar>
            <w:top w:w="0" w:type="dxa"/>
            <w:left w:w="108" w:type="dxa"/>
            <w:bottom w:w="0" w:type="dxa"/>
            <w:right w:w="108" w:type="dxa"/>
          </w:tblCellMar>
        </w:tblPrEx>
        <w:trPr>
          <w:trHeight w:val="384" w:hRule="atLeast"/>
          <w:jc w:val="center"/>
        </w:trPr>
        <w:tc>
          <w:tcPr>
            <w:tcW w:w="1627" w:type="dxa"/>
            <w:vMerge w:val="restart"/>
            <w:tcBorders>
              <w:top w:val="single" w:color="000000" w:sz="8" w:space="0"/>
              <w:left w:val="single" w:color="000000" w:sz="8" w:space="0"/>
              <w:right w:val="single" w:color="000000" w:sz="8" w:space="0"/>
            </w:tcBorders>
            <w:shd w:val="clear" w:color="auto" w:fill="auto"/>
            <w:vAlign w:val="center"/>
          </w:tcPr>
          <w:p w14:paraId="2F0024E6">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卓越型培养模块</w:t>
            </w: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945057">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专业方向模块</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5BDAE9B4">
            <w:pPr>
              <w:pageBreakBefore w:val="0"/>
              <w:kinsoku/>
              <w:wordWrap/>
              <w:overflowPunct/>
              <w:topLinePunct w:val="0"/>
              <w:autoSpaceDE/>
              <w:autoSpaceDN/>
              <w:bidi w:val="0"/>
              <w:adjustRightInd/>
              <w:snapToGrid/>
              <w:jc w:val="center"/>
              <w:outlineLvl w:val="9"/>
              <w:rPr>
                <w:rFonts w:ascii="黑体" w:hAnsi="黑体" w:eastAsia="黑体" w:cs="黑体"/>
                <w:color w:val="auto"/>
                <w:szCs w:val="21"/>
                <w:highlight w:val="red"/>
              </w:rPr>
            </w:pPr>
            <w:r>
              <w:rPr>
                <w:rFonts w:hint="eastAsia" w:ascii="黑体" w:hAnsi="黑体" w:eastAsia="黑体" w:cs="黑体"/>
                <w:color w:val="auto"/>
                <w:szCs w:val="21"/>
              </w:rPr>
              <w:t>11</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78447EE5">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根据学生所在方向选择修读</w:t>
            </w:r>
          </w:p>
        </w:tc>
      </w:tr>
      <w:tr w14:paraId="5E70239F">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01DA528C">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9D6EBF">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跨学科选修</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45AE5D78">
            <w:pPr>
              <w:pageBreakBefore w:val="0"/>
              <w:kinsoku/>
              <w:wordWrap/>
              <w:overflowPunct/>
              <w:topLinePunct w:val="0"/>
              <w:autoSpaceDE/>
              <w:autoSpaceDN/>
              <w:bidi w:val="0"/>
              <w:adjustRightInd/>
              <w:snapToGrid/>
              <w:jc w:val="center"/>
              <w:outlineLvl w:val="9"/>
              <w:rPr>
                <w:rFonts w:ascii="黑体" w:hAnsi="黑体" w:eastAsia="黑体" w:cs="黑体"/>
                <w:color w:val="auto"/>
                <w:szCs w:val="21"/>
                <w:highlight w:val="red"/>
              </w:rPr>
            </w:pPr>
            <w:r>
              <w:rPr>
                <w:rFonts w:hint="eastAsia" w:ascii="黑体" w:hAnsi="黑体" w:eastAsia="黑体" w:cs="黑体"/>
                <w:color w:val="auto"/>
                <w:szCs w:val="21"/>
              </w:rPr>
              <w:t>9</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4D44AB65">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r>
      <w:tr w14:paraId="68F18BCE">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0F13741D">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5A3ED8">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双创训练</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3929DB28">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2</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15C95C95">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归口为第二课堂学分</w:t>
            </w:r>
          </w:p>
        </w:tc>
      </w:tr>
      <w:tr w14:paraId="1D2A3A49">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bottom w:val="single" w:color="000000" w:sz="8" w:space="0"/>
              <w:right w:val="single" w:color="000000" w:sz="8" w:space="0"/>
            </w:tcBorders>
            <w:shd w:val="clear" w:color="auto" w:fill="auto"/>
            <w:vAlign w:val="center"/>
          </w:tcPr>
          <w:p w14:paraId="158D4936">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3E5B41">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总计</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3B3FC71F">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22</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18C6C96E">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r>
      <w:tr w14:paraId="515C036F">
        <w:tblPrEx>
          <w:tblCellMar>
            <w:top w:w="0" w:type="dxa"/>
            <w:left w:w="108" w:type="dxa"/>
            <w:bottom w:w="0" w:type="dxa"/>
            <w:right w:w="108" w:type="dxa"/>
          </w:tblCellMar>
        </w:tblPrEx>
        <w:trPr>
          <w:trHeight w:val="696" w:hRule="atLeast"/>
          <w:jc w:val="center"/>
        </w:trPr>
        <w:tc>
          <w:tcPr>
            <w:tcW w:w="1627" w:type="dxa"/>
            <w:vMerge w:val="restart"/>
            <w:tcBorders>
              <w:top w:val="single" w:color="000000" w:sz="8" w:space="0"/>
              <w:left w:val="single" w:color="000000" w:sz="8" w:space="0"/>
              <w:right w:val="single" w:color="000000" w:sz="8" w:space="0"/>
            </w:tcBorders>
            <w:shd w:val="clear" w:color="auto" w:fill="auto"/>
            <w:vAlign w:val="center"/>
          </w:tcPr>
          <w:p w14:paraId="780AB445">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创业型培养模块</w:t>
            </w: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DB2AC48">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创业课程群模块</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5A8831AD">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11</w:t>
            </w:r>
          </w:p>
        </w:tc>
        <w:tc>
          <w:tcPr>
            <w:tcW w:w="3656" w:type="dxa"/>
            <w:vMerge w:val="restart"/>
            <w:tcBorders>
              <w:top w:val="single" w:color="000000" w:sz="8" w:space="0"/>
              <w:left w:val="nil"/>
              <w:right w:val="single" w:color="000000" w:sz="8" w:space="0"/>
            </w:tcBorders>
            <w:shd w:val="clear" w:color="auto" w:fill="auto"/>
            <w:vAlign w:val="center"/>
          </w:tcPr>
          <w:p w14:paraId="6D7F8D48">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详见创业型培养方案</w:t>
            </w:r>
          </w:p>
        </w:tc>
      </w:tr>
      <w:tr w14:paraId="6A6ADC62">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51FC91F7">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7885FF">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创业实践</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67B97C99">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2</w:t>
            </w:r>
          </w:p>
        </w:tc>
        <w:tc>
          <w:tcPr>
            <w:tcW w:w="3656" w:type="dxa"/>
            <w:vMerge w:val="continue"/>
            <w:tcBorders>
              <w:left w:val="nil"/>
              <w:bottom w:val="single" w:color="000000" w:sz="8" w:space="0"/>
              <w:right w:val="single" w:color="000000" w:sz="8" w:space="0"/>
            </w:tcBorders>
            <w:shd w:val="clear" w:color="auto" w:fill="auto"/>
            <w:vAlign w:val="center"/>
          </w:tcPr>
          <w:p w14:paraId="2EF0E416">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r>
      <w:tr w14:paraId="30A6F4F7">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209584E1">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176715">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专业方向模块</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53DA6512">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5</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7C645893">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根据学生所在方向选择修读</w:t>
            </w:r>
          </w:p>
        </w:tc>
      </w:tr>
      <w:tr w14:paraId="7FEE2627">
        <w:tblPrEx>
          <w:tblCellMar>
            <w:top w:w="0" w:type="dxa"/>
            <w:left w:w="108" w:type="dxa"/>
            <w:bottom w:w="0" w:type="dxa"/>
            <w:right w:w="108" w:type="dxa"/>
          </w:tblCellMar>
        </w:tblPrEx>
        <w:trPr>
          <w:trHeight w:val="384" w:hRule="atLeast"/>
          <w:jc w:val="center"/>
        </w:trPr>
        <w:tc>
          <w:tcPr>
            <w:tcW w:w="1627" w:type="dxa"/>
            <w:vMerge w:val="continue"/>
            <w:tcBorders>
              <w:left w:val="single" w:color="000000" w:sz="8" w:space="0"/>
              <w:right w:val="single" w:color="000000" w:sz="8" w:space="0"/>
            </w:tcBorders>
            <w:shd w:val="clear" w:color="auto" w:fill="auto"/>
            <w:vAlign w:val="center"/>
          </w:tcPr>
          <w:p w14:paraId="1010816C">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41CFF8">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跨学科选修</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4BD43EBA">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4</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2877330C">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r>
      <w:tr w14:paraId="3A7119E8">
        <w:tblPrEx>
          <w:tblCellMar>
            <w:top w:w="0" w:type="dxa"/>
            <w:left w:w="108" w:type="dxa"/>
            <w:bottom w:w="0" w:type="dxa"/>
            <w:right w:w="108" w:type="dxa"/>
          </w:tblCellMar>
        </w:tblPrEx>
        <w:trPr>
          <w:trHeight w:val="432" w:hRule="atLeast"/>
          <w:jc w:val="center"/>
        </w:trPr>
        <w:tc>
          <w:tcPr>
            <w:tcW w:w="1627" w:type="dxa"/>
            <w:vMerge w:val="continue"/>
            <w:tcBorders>
              <w:left w:val="single" w:color="000000" w:sz="8" w:space="0"/>
              <w:bottom w:val="single" w:color="000000" w:sz="8" w:space="0"/>
              <w:right w:val="single" w:color="000000" w:sz="8" w:space="0"/>
            </w:tcBorders>
            <w:shd w:val="clear" w:color="auto" w:fill="auto"/>
            <w:vAlign w:val="center"/>
          </w:tcPr>
          <w:p w14:paraId="6E3A9B5A">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c>
          <w:tcPr>
            <w:tcW w:w="16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66CF31">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总计</w:t>
            </w:r>
          </w:p>
        </w:tc>
        <w:tc>
          <w:tcPr>
            <w:tcW w:w="905" w:type="dxa"/>
            <w:tcBorders>
              <w:top w:val="single" w:color="000000" w:sz="8" w:space="0"/>
              <w:left w:val="nil"/>
              <w:bottom w:val="single" w:color="000000" w:sz="8" w:space="0"/>
              <w:right w:val="single" w:color="000000" w:sz="8" w:space="0"/>
            </w:tcBorders>
            <w:shd w:val="clear" w:color="auto" w:fill="auto"/>
            <w:vAlign w:val="center"/>
          </w:tcPr>
          <w:p w14:paraId="5827829C">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r>
              <w:rPr>
                <w:rFonts w:hint="eastAsia" w:ascii="黑体" w:hAnsi="黑体" w:eastAsia="黑体" w:cs="黑体"/>
                <w:color w:val="auto"/>
                <w:szCs w:val="21"/>
              </w:rPr>
              <w:t>22</w:t>
            </w:r>
          </w:p>
        </w:tc>
        <w:tc>
          <w:tcPr>
            <w:tcW w:w="3656" w:type="dxa"/>
            <w:tcBorders>
              <w:top w:val="single" w:color="000000" w:sz="8" w:space="0"/>
              <w:left w:val="nil"/>
              <w:bottom w:val="single" w:color="000000" w:sz="8" w:space="0"/>
              <w:right w:val="single" w:color="000000" w:sz="8" w:space="0"/>
            </w:tcBorders>
            <w:shd w:val="clear" w:color="auto" w:fill="auto"/>
            <w:vAlign w:val="center"/>
          </w:tcPr>
          <w:p w14:paraId="7ECA8584">
            <w:pPr>
              <w:pageBreakBefore w:val="0"/>
              <w:kinsoku/>
              <w:wordWrap/>
              <w:overflowPunct/>
              <w:topLinePunct w:val="0"/>
              <w:autoSpaceDE/>
              <w:autoSpaceDN/>
              <w:bidi w:val="0"/>
              <w:adjustRightInd/>
              <w:snapToGrid/>
              <w:jc w:val="center"/>
              <w:outlineLvl w:val="9"/>
              <w:rPr>
                <w:rFonts w:ascii="黑体" w:hAnsi="黑体" w:eastAsia="黑体" w:cs="黑体"/>
                <w:color w:val="auto"/>
                <w:szCs w:val="21"/>
              </w:rPr>
            </w:pPr>
          </w:p>
        </w:tc>
      </w:tr>
    </w:tbl>
    <w:p w14:paraId="1FFBA3FD">
      <w:pPr>
        <w:pageBreakBefore w:val="0"/>
        <w:kinsoku/>
        <w:wordWrap/>
        <w:overflowPunct/>
        <w:topLinePunct w:val="0"/>
        <w:autoSpaceDE/>
        <w:autoSpaceDN/>
        <w:bidi w:val="0"/>
        <w:adjustRightInd/>
        <w:snapToGrid/>
        <w:outlineLvl w:val="9"/>
        <w:rPr>
          <w:color w:val="auto"/>
          <w:szCs w:val="21"/>
        </w:rPr>
      </w:pPr>
    </w:p>
    <w:p w14:paraId="13CED80F">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1.</w:t>
      </w:r>
      <w:r>
        <w:rPr>
          <w:rFonts w:hint="eastAsia"/>
          <w:b/>
          <w:bCs/>
          <w:color w:val="auto"/>
          <w:szCs w:val="21"/>
        </w:rPr>
        <w:t>卓越型培养模块</w:t>
      </w:r>
    </w:p>
    <w:p w14:paraId="0143854E">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（1）专业方向模块（11学分）</w:t>
      </w:r>
    </w:p>
    <w:p w14:paraId="165DAA40">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课程</w:t>
      </w:r>
      <w:r>
        <w:rPr>
          <w:rFonts w:hint="eastAsia"/>
          <w:color w:val="auto"/>
          <w:szCs w:val="21"/>
        </w:rPr>
        <w:t>清单如下：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950"/>
        <w:gridCol w:w="705"/>
        <w:gridCol w:w="1188"/>
        <w:gridCol w:w="717"/>
      </w:tblGrid>
      <w:tr w14:paraId="1419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22591379">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950" w:type="dxa"/>
            <w:vAlign w:val="center"/>
          </w:tcPr>
          <w:p w14:paraId="4E4CCD1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705" w:type="dxa"/>
            <w:vAlign w:val="center"/>
          </w:tcPr>
          <w:p w14:paraId="7365533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88" w:type="dxa"/>
            <w:vAlign w:val="center"/>
          </w:tcPr>
          <w:p w14:paraId="11367BBD">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7235C6D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794C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25C13AB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实变函数</w:t>
            </w:r>
          </w:p>
        </w:tc>
        <w:tc>
          <w:tcPr>
            <w:tcW w:w="1950" w:type="dxa"/>
            <w:shd w:val="clear" w:color="auto" w:fill="auto"/>
            <w:vAlign w:val="center"/>
          </w:tcPr>
          <w:p w14:paraId="00F5CCE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100982</w:t>
            </w:r>
          </w:p>
        </w:tc>
        <w:tc>
          <w:tcPr>
            <w:tcW w:w="705" w:type="dxa"/>
            <w:shd w:val="clear" w:color="auto" w:fill="auto"/>
            <w:vAlign w:val="center"/>
          </w:tcPr>
          <w:p w14:paraId="70C1A42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4FC2A8B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restart"/>
            <w:shd w:val="clear" w:color="auto" w:fill="auto"/>
            <w:vAlign w:val="center"/>
          </w:tcPr>
          <w:p w14:paraId="79D0076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3CB8720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0AFB433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644DA80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1234371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783139D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13844BC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555B5846">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2C56468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04DB8AE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756B55D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31C9083A">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084D5AF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p w14:paraId="1AA64FB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选修</w:t>
            </w:r>
          </w:p>
        </w:tc>
      </w:tr>
      <w:tr w14:paraId="1223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041D414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复变函数</w:t>
            </w:r>
          </w:p>
        </w:tc>
        <w:tc>
          <w:tcPr>
            <w:tcW w:w="1950" w:type="dxa"/>
            <w:shd w:val="clear" w:color="auto" w:fill="auto"/>
            <w:vAlign w:val="center"/>
          </w:tcPr>
          <w:p w14:paraId="715DA7D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103300</w:t>
            </w:r>
          </w:p>
        </w:tc>
        <w:tc>
          <w:tcPr>
            <w:tcW w:w="705" w:type="dxa"/>
            <w:shd w:val="clear" w:color="auto" w:fill="auto"/>
            <w:vAlign w:val="center"/>
          </w:tcPr>
          <w:p w14:paraId="30FCD0A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DDD5FB8">
            <w:pPr>
              <w:pageBreakBefore w:val="0"/>
              <w:widowControl/>
              <w:kinsoku/>
              <w:wordWrap/>
              <w:overflowPunct/>
              <w:topLinePunct w:val="0"/>
              <w:autoSpaceDE/>
              <w:autoSpaceDN/>
              <w:bidi w:val="0"/>
              <w:adjustRightInd/>
              <w:snapToGrid/>
              <w:jc w:val="center"/>
              <w:textAlignment w:val="center"/>
              <w:outlineLvl w:val="9"/>
              <w:rPr>
                <w:rFonts w:hint="eastAsia" w:ascii="黑体" w:hAnsi="黑体" w:eastAsia="黑体" w:cs="黑体"/>
                <w:color w:val="auto"/>
                <w:szCs w:val="21"/>
                <w:lang w:eastAsia="zh-CN"/>
              </w:rPr>
            </w:pPr>
            <w:r>
              <w:rPr>
                <w:rFonts w:hint="eastAsia" w:ascii="黑体" w:hAnsi="宋体" w:eastAsia="黑体" w:cs="黑体"/>
                <w:color w:val="auto"/>
                <w:kern w:val="0"/>
                <w:szCs w:val="21"/>
                <w:lang w:val="en-US" w:eastAsia="zh-CN" w:bidi="ar"/>
              </w:rPr>
              <w:t>3</w:t>
            </w:r>
          </w:p>
        </w:tc>
        <w:tc>
          <w:tcPr>
            <w:tcW w:w="717" w:type="dxa"/>
            <w:vMerge w:val="continue"/>
            <w:shd w:val="clear" w:color="auto" w:fill="auto"/>
            <w:vAlign w:val="center"/>
          </w:tcPr>
          <w:p w14:paraId="60AE19DE">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EE1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6BCB907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国民经济核算</w:t>
            </w:r>
          </w:p>
        </w:tc>
        <w:tc>
          <w:tcPr>
            <w:tcW w:w="1950" w:type="dxa"/>
            <w:shd w:val="clear" w:color="auto" w:fill="auto"/>
            <w:vAlign w:val="center"/>
          </w:tcPr>
          <w:p w14:paraId="7B71D7F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100659</w:t>
            </w:r>
          </w:p>
        </w:tc>
        <w:tc>
          <w:tcPr>
            <w:tcW w:w="705" w:type="dxa"/>
            <w:shd w:val="clear" w:color="auto" w:fill="auto"/>
            <w:vAlign w:val="center"/>
          </w:tcPr>
          <w:p w14:paraId="5976AAC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3883110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73106D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1B8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36DB0B1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商务统计建模与决策</w:t>
            </w:r>
          </w:p>
        </w:tc>
        <w:tc>
          <w:tcPr>
            <w:tcW w:w="1950" w:type="dxa"/>
            <w:shd w:val="clear" w:color="auto" w:fill="auto"/>
            <w:vAlign w:val="center"/>
          </w:tcPr>
          <w:p w14:paraId="0C44DAA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101849</w:t>
            </w:r>
          </w:p>
        </w:tc>
        <w:tc>
          <w:tcPr>
            <w:tcW w:w="705" w:type="dxa"/>
            <w:shd w:val="clear" w:color="auto" w:fill="auto"/>
            <w:vAlign w:val="center"/>
          </w:tcPr>
          <w:p w14:paraId="4885111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33ED395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2EBE3306">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6C6B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22BABCD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多元统计分析</w:t>
            </w:r>
          </w:p>
        </w:tc>
        <w:tc>
          <w:tcPr>
            <w:tcW w:w="1950" w:type="dxa"/>
            <w:shd w:val="clear" w:color="auto" w:fill="auto"/>
            <w:vAlign w:val="center"/>
          </w:tcPr>
          <w:p w14:paraId="70EA982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103322</w:t>
            </w:r>
          </w:p>
        </w:tc>
        <w:tc>
          <w:tcPr>
            <w:tcW w:w="705" w:type="dxa"/>
            <w:shd w:val="clear" w:color="auto" w:fill="auto"/>
            <w:vAlign w:val="center"/>
          </w:tcPr>
          <w:p w14:paraId="72DB340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5E66FAA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2FABC9D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DEE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6308B75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计量经济学</w:t>
            </w:r>
          </w:p>
        </w:tc>
        <w:tc>
          <w:tcPr>
            <w:tcW w:w="1950" w:type="dxa"/>
            <w:shd w:val="clear" w:color="auto" w:fill="auto"/>
            <w:vAlign w:val="center"/>
          </w:tcPr>
          <w:p w14:paraId="606E3C2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105497</w:t>
            </w:r>
          </w:p>
        </w:tc>
        <w:tc>
          <w:tcPr>
            <w:tcW w:w="705" w:type="dxa"/>
            <w:shd w:val="clear" w:color="auto" w:fill="auto"/>
            <w:vAlign w:val="center"/>
          </w:tcPr>
          <w:p w14:paraId="0005885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F4B6C7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3B8CA6F6">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A74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4F84115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金融风险管理</w:t>
            </w:r>
          </w:p>
        </w:tc>
        <w:tc>
          <w:tcPr>
            <w:tcW w:w="1950" w:type="dxa"/>
            <w:shd w:val="clear" w:color="auto" w:fill="auto"/>
            <w:vAlign w:val="center"/>
          </w:tcPr>
          <w:p w14:paraId="189A0A4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105498</w:t>
            </w:r>
          </w:p>
        </w:tc>
        <w:tc>
          <w:tcPr>
            <w:tcW w:w="705" w:type="dxa"/>
            <w:shd w:val="clear" w:color="auto" w:fill="auto"/>
            <w:vAlign w:val="center"/>
          </w:tcPr>
          <w:p w14:paraId="688A01B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116FB55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058CED3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64AD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36CB783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金融建模</w:t>
            </w:r>
          </w:p>
        </w:tc>
        <w:tc>
          <w:tcPr>
            <w:tcW w:w="1950" w:type="dxa"/>
            <w:shd w:val="clear" w:color="auto" w:fill="auto"/>
            <w:vAlign w:val="center"/>
          </w:tcPr>
          <w:p w14:paraId="36CFB6B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105500</w:t>
            </w:r>
          </w:p>
        </w:tc>
        <w:tc>
          <w:tcPr>
            <w:tcW w:w="705" w:type="dxa"/>
            <w:shd w:val="clear" w:color="auto" w:fill="auto"/>
            <w:vAlign w:val="center"/>
          </w:tcPr>
          <w:p w14:paraId="59A1511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1CAFB0B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B1A8D5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827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21" w:type="dxa"/>
            <w:shd w:val="clear" w:color="auto" w:fill="auto"/>
            <w:vAlign w:val="center"/>
          </w:tcPr>
          <w:p w14:paraId="783BFDC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因果推断</w:t>
            </w:r>
          </w:p>
        </w:tc>
        <w:tc>
          <w:tcPr>
            <w:tcW w:w="1950" w:type="dxa"/>
            <w:shd w:val="clear" w:color="auto" w:fill="auto"/>
            <w:vAlign w:val="center"/>
          </w:tcPr>
          <w:p w14:paraId="3084E1F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106274</w:t>
            </w:r>
          </w:p>
        </w:tc>
        <w:tc>
          <w:tcPr>
            <w:tcW w:w="705" w:type="dxa"/>
            <w:shd w:val="clear" w:color="auto" w:fill="auto"/>
            <w:vAlign w:val="center"/>
          </w:tcPr>
          <w:p w14:paraId="74DD8CA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268FCC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40B5C3D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341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CD6A32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金融统计学</w:t>
            </w:r>
          </w:p>
        </w:tc>
        <w:tc>
          <w:tcPr>
            <w:tcW w:w="1950" w:type="dxa"/>
            <w:shd w:val="clear" w:color="auto" w:fill="auto"/>
            <w:vAlign w:val="center"/>
          </w:tcPr>
          <w:p w14:paraId="413D137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100490</w:t>
            </w:r>
          </w:p>
        </w:tc>
        <w:tc>
          <w:tcPr>
            <w:tcW w:w="705" w:type="dxa"/>
            <w:shd w:val="clear" w:color="auto" w:fill="auto"/>
            <w:vAlign w:val="center"/>
          </w:tcPr>
          <w:p w14:paraId="5F2073F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7B0E1D0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677D76C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36E9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9B7083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属性数据分析</w:t>
            </w:r>
          </w:p>
        </w:tc>
        <w:tc>
          <w:tcPr>
            <w:tcW w:w="1950" w:type="dxa"/>
            <w:shd w:val="clear" w:color="auto" w:fill="auto"/>
            <w:vAlign w:val="center"/>
          </w:tcPr>
          <w:p w14:paraId="1DC4050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100937</w:t>
            </w:r>
          </w:p>
        </w:tc>
        <w:tc>
          <w:tcPr>
            <w:tcW w:w="705" w:type="dxa"/>
            <w:shd w:val="clear" w:color="auto" w:fill="auto"/>
            <w:vAlign w:val="center"/>
          </w:tcPr>
          <w:p w14:paraId="04016A2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551619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5E1A6D8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A58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200164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抽样技术</w:t>
            </w:r>
          </w:p>
        </w:tc>
        <w:tc>
          <w:tcPr>
            <w:tcW w:w="1950" w:type="dxa"/>
            <w:shd w:val="clear" w:color="auto" w:fill="auto"/>
            <w:vAlign w:val="center"/>
          </w:tcPr>
          <w:p w14:paraId="48633E3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101592</w:t>
            </w:r>
          </w:p>
        </w:tc>
        <w:tc>
          <w:tcPr>
            <w:tcW w:w="705" w:type="dxa"/>
            <w:shd w:val="clear" w:color="auto" w:fill="auto"/>
            <w:vAlign w:val="center"/>
          </w:tcPr>
          <w:p w14:paraId="2255B19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C8A0AB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66CA4F7E">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EC4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2CE12B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数量金融</w:t>
            </w:r>
          </w:p>
        </w:tc>
        <w:tc>
          <w:tcPr>
            <w:tcW w:w="1950" w:type="dxa"/>
            <w:shd w:val="clear" w:color="auto" w:fill="auto"/>
            <w:vAlign w:val="center"/>
          </w:tcPr>
          <w:p w14:paraId="26B03C9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102039</w:t>
            </w:r>
          </w:p>
        </w:tc>
        <w:tc>
          <w:tcPr>
            <w:tcW w:w="705" w:type="dxa"/>
            <w:shd w:val="clear" w:color="auto" w:fill="auto"/>
            <w:vAlign w:val="center"/>
          </w:tcPr>
          <w:p w14:paraId="52102A7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513AF6D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5E1D8D5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680C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E09A56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统计写作</w:t>
            </w:r>
          </w:p>
        </w:tc>
        <w:tc>
          <w:tcPr>
            <w:tcW w:w="1950" w:type="dxa"/>
            <w:shd w:val="clear" w:color="auto" w:fill="auto"/>
            <w:vAlign w:val="center"/>
          </w:tcPr>
          <w:p w14:paraId="131BCFA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103431</w:t>
            </w:r>
          </w:p>
        </w:tc>
        <w:tc>
          <w:tcPr>
            <w:tcW w:w="705" w:type="dxa"/>
            <w:shd w:val="clear" w:color="auto" w:fill="auto"/>
            <w:vAlign w:val="center"/>
          </w:tcPr>
          <w:p w14:paraId="2CFA85C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1188" w:type="dxa"/>
            <w:shd w:val="clear" w:color="auto" w:fill="auto"/>
            <w:vAlign w:val="center"/>
          </w:tcPr>
          <w:p w14:paraId="21EACEA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4807A335">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63E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1" w:type="dxa"/>
            <w:shd w:val="clear" w:color="auto" w:fill="auto"/>
            <w:vAlign w:val="center"/>
          </w:tcPr>
          <w:p w14:paraId="53BA7F8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生存分析</w:t>
            </w:r>
          </w:p>
        </w:tc>
        <w:tc>
          <w:tcPr>
            <w:tcW w:w="1950" w:type="dxa"/>
            <w:shd w:val="clear" w:color="auto" w:fill="auto"/>
            <w:vAlign w:val="center"/>
          </w:tcPr>
          <w:p w14:paraId="34BC0CA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105504</w:t>
            </w:r>
          </w:p>
        </w:tc>
        <w:tc>
          <w:tcPr>
            <w:tcW w:w="705" w:type="dxa"/>
            <w:shd w:val="clear" w:color="auto" w:fill="auto"/>
            <w:vAlign w:val="center"/>
          </w:tcPr>
          <w:p w14:paraId="2D3F3B7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DDA00C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5F5DA2D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14C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7CAE78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随机过程</w:t>
            </w:r>
          </w:p>
        </w:tc>
        <w:tc>
          <w:tcPr>
            <w:tcW w:w="1950" w:type="dxa"/>
            <w:shd w:val="clear" w:color="auto" w:fill="auto"/>
            <w:vAlign w:val="center"/>
          </w:tcPr>
          <w:p w14:paraId="7E20D3F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105509</w:t>
            </w:r>
          </w:p>
        </w:tc>
        <w:tc>
          <w:tcPr>
            <w:tcW w:w="705" w:type="dxa"/>
            <w:shd w:val="clear" w:color="auto" w:fill="auto"/>
            <w:vAlign w:val="center"/>
          </w:tcPr>
          <w:p w14:paraId="4C70DE8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2116EB6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07513432">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F02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159AA0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人工智能与认知科学</w:t>
            </w:r>
          </w:p>
        </w:tc>
        <w:tc>
          <w:tcPr>
            <w:tcW w:w="1950" w:type="dxa"/>
            <w:shd w:val="clear" w:color="auto" w:fill="auto"/>
            <w:vAlign w:val="center"/>
          </w:tcPr>
          <w:p w14:paraId="17DDCACF">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107480</w:t>
            </w:r>
          </w:p>
        </w:tc>
        <w:tc>
          <w:tcPr>
            <w:tcW w:w="705" w:type="dxa"/>
            <w:shd w:val="clear" w:color="auto" w:fill="auto"/>
            <w:vAlign w:val="center"/>
          </w:tcPr>
          <w:p w14:paraId="32BA141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7A13BE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6F83D15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B74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7D5A87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计算机视觉</w:t>
            </w:r>
          </w:p>
        </w:tc>
        <w:tc>
          <w:tcPr>
            <w:tcW w:w="1950" w:type="dxa"/>
            <w:shd w:val="clear" w:color="auto" w:fill="auto"/>
            <w:vAlign w:val="center"/>
          </w:tcPr>
          <w:p w14:paraId="2AACB366">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黑体" w:cs="黑体"/>
                <w:color w:val="auto"/>
                <w:szCs w:val="21"/>
                <w:lang w:val="en-US" w:eastAsia="zh-CN"/>
              </w:rPr>
            </w:pPr>
            <w:r>
              <w:rPr>
                <w:rFonts w:hint="eastAsia" w:ascii="等线" w:hAnsi="等线" w:eastAsia="等线" w:cs="等线"/>
                <w:color w:val="auto"/>
                <w:kern w:val="0"/>
                <w:sz w:val="18"/>
                <w:szCs w:val="18"/>
                <w:lang w:val="en-US" w:eastAsia="zh-CN" w:bidi="ar"/>
              </w:rPr>
              <w:t>107478</w:t>
            </w:r>
          </w:p>
        </w:tc>
        <w:tc>
          <w:tcPr>
            <w:tcW w:w="705" w:type="dxa"/>
            <w:shd w:val="clear" w:color="auto" w:fill="auto"/>
            <w:vAlign w:val="center"/>
          </w:tcPr>
          <w:p w14:paraId="3E6B258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F8C4F5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vAlign w:val="center"/>
          </w:tcPr>
          <w:p w14:paraId="34CD850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F1C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A5BDA4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非参数统计</w:t>
            </w:r>
          </w:p>
        </w:tc>
        <w:tc>
          <w:tcPr>
            <w:tcW w:w="1950" w:type="dxa"/>
            <w:shd w:val="clear" w:color="auto" w:fill="auto"/>
            <w:vAlign w:val="center"/>
          </w:tcPr>
          <w:p w14:paraId="10D0C1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103294</w:t>
            </w:r>
          </w:p>
        </w:tc>
        <w:tc>
          <w:tcPr>
            <w:tcW w:w="705" w:type="dxa"/>
            <w:shd w:val="clear" w:color="auto" w:fill="auto"/>
            <w:vAlign w:val="center"/>
          </w:tcPr>
          <w:p w14:paraId="3399A6A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289B1AA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615A452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7E8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0B1AE6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函数型数据分析方法、理论及其应用</w:t>
            </w:r>
          </w:p>
        </w:tc>
        <w:tc>
          <w:tcPr>
            <w:tcW w:w="1950" w:type="dxa"/>
            <w:shd w:val="clear" w:color="auto" w:fill="auto"/>
            <w:vAlign w:val="center"/>
          </w:tcPr>
          <w:p w14:paraId="1B7CA40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106273</w:t>
            </w:r>
          </w:p>
        </w:tc>
        <w:tc>
          <w:tcPr>
            <w:tcW w:w="705" w:type="dxa"/>
            <w:shd w:val="clear" w:color="auto" w:fill="auto"/>
            <w:vAlign w:val="center"/>
          </w:tcPr>
          <w:p w14:paraId="17AE392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11D34A0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71CB1B72">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CF7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A10905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高维数据统计推断</w:t>
            </w:r>
          </w:p>
        </w:tc>
        <w:tc>
          <w:tcPr>
            <w:tcW w:w="1950" w:type="dxa"/>
            <w:shd w:val="clear" w:color="auto" w:fill="auto"/>
            <w:vAlign w:val="center"/>
          </w:tcPr>
          <w:p w14:paraId="487D614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106275</w:t>
            </w:r>
          </w:p>
        </w:tc>
        <w:tc>
          <w:tcPr>
            <w:tcW w:w="705" w:type="dxa"/>
            <w:shd w:val="clear" w:color="auto" w:fill="auto"/>
            <w:vAlign w:val="center"/>
          </w:tcPr>
          <w:p w14:paraId="0D0978D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3F6DDC1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74A0841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819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8FA352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统计思想</w:t>
            </w:r>
          </w:p>
        </w:tc>
        <w:tc>
          <w:tcPr>
            <w:tcW w:w="1950" w:type="dxa"/>
            <w:shd w:val="clear" w:color="auto" w:fill="auto"/>
            <w:vAlign w:val="center"/>
          </w:tcPr>
          <w:p w14:paraId="41D4FCD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100189</w:t>
            </w:r>
          </w:p>
        </w:tc>
        <w:tc>
          <w:tcPr>
            <w:tcW w:w="705" w:type="dxa"/>
            <w:shd w:val="clear" w:color="auto" w:fill="auto"/>
            <w:vAlign w:val="center"/>
          </w:tcPr>
          <w:p w14:paraId="22F5AE3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462A089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tcPr>
          <w:p w14:paraId="5599608D">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AFA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406DA3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1"/>
                <w:rFonts w:hint="default"/>
                <w:color w:val="auto"/>
                <w:lang w:bidi="ar"/>
              </w:rPr>
              <w:t>金融优化</w:t>
            </w:r>
          </w:p>
        </w:tc>
        <w:tc>
          <w:tcPr>
            <w:tcW w:w="1950" w:type="dxa"/>
            <w:shd w:val="clear" w:color="auto" w:fill="auto"/>
            <w:vAlign w:val="center"/>
          </w:tcPr>
          <w:p w14:paraId="65EDA81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106276</w:t>
            </w:r>
          </w:p>
        </w:tc>
        <w:tc>
          <w:tcPr>
            <w:tcW w:w="705" w:type="dxa"/>
            <w:shd w:val="clear" w:color="auto" w:fill="auto"/>
            <w:vAlign w:val="center"/>
          </w:tcPr>
          <w:p w14:paraId="6957A60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6289ECB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7</w:t>
            </w:r>
          </w:p>
        </w:tc>
        <w:tc>
          <w:tcPr>
            <w:tcW w:w="717" w:type="dxa"/>
            <w:vMerge w:val="continue"/>
            <w:shd w:val="clear" w:color="auto" w:fill="auto"/>
          </w:tcPr>
          <w:p w14:paraId="604AA72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B49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9E0845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贝叶斯决策</w:t>
            </w:r>
          </w:p>
        </w:tc>
        <w:tc>
          <w:tcPr>
            <w:tcW w:w="1950" w:type="dxa"/>
            <w:shd w:val="clear" w:color="auto" w:fill="auto"/>
            <w:vAlign w:val="center"/>
          </w:tcPr>
          <w:p w14:paraId="6541106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100202</w:t>
            </w:r>
          </w:p>
        </w:tc>
        <w:tc>
          <w:tcPr>
            <w:tcW w:w="705" w:type="dxa"/>
            <w:shd w:val="clear" w:color="auto" w:fill="auto"/>
            <w:vAlign w:val="center"/>
          </w:tcPr>
          <w:p w14:paraId="0C20599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88" w:type="dxa"/>
            <w:shd w:val="clear" w:color="auto" w:fill="auto"/>
            <w:vAlign w:val="center"/>
          </w:tcPr>
          <w:p w14:paraId="501941C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73FD664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6180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20DFA1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征信与大数据风控</w:t>
            </w:r>
          </w:p>
        </w:tc>
        <w:tc>
          <w:tcPr>
            <w:tcW w:w="1950" w:type="dxa"/>
            <w:shd w:val="clear" w:color="auto" w:fill="auto"/>
            <w:vAlign w:val="center"/>
          </w:tcPr>
          <w:p w14:paraId="5D40F80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100255</w:t>
            </w:r>
          </w:p>
        </w:tc>
        <w:tc>
          <w:tcPr>
            <w:tcW w:w="705" w:type="dxa"/>
            <w:shd w:val="clear" w:color="auto" w:fill="auto"/>
            <w:vAlign w:val="center"/>
          </w:tcPr>
          <w:p w14:paraId="20775DE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1E599C4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6ECDA004">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929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11A627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金融计量学</w:t>
            </w:r>
          </w:p>
        </w:tc>
        <w:tc>
          <w:tcPr>
            <w:tcW w:w="1950" w:type="dxa"/>
            <w:shd w:val="clear" w:color="auto" w:fill="auto"/>
            <w:vAlign w:val="center"/>
          </w:tcPr>
          <w:p w14:paraId="0C405BE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105499</w:t>
            </w:r>
          </w:p>
        </w:tc>
        <w:tc>
          <w:tcPr>
            <w:tcW w:w="705" w:type="dxa"/>
            <w:shd w:val="clear" w:color="auto" w:fill="auto"/>
            <w:vAlign w:val="center"/>
          </w:tcPr>
          <w:p w14:paraId="1C1188C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88" w:type="dxa"/>
            <w:shd w:val="clear" w:color="auto" w:fill="auto"/>
            <w:vAlign w:val="center"/>
          </w:tcPr>
          <w:p w14:paraId="67B8089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1A2D5BD9">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bl>
    <w:p w14:paraId="23086C30">
      <w:pPr>
        <w:pageBreakBefore w:val="0"/>
        <w:kinsoku/>
        <w:wordWrap/>
        <w:overflowPunct/>
        <w:topLinePunct w:val="0"/>
        <w:autoSpaceDE/>
        <w:autoSpaceDN/>
        <w:bidi w:val="0"/>
        <w:adjustRightInd/>
        <w:snapToGrid/>
        <w:outlineLvl w:val="9"/>
        <w:rPr>
          <w:color w:val="auto"/>
          <w:szCs w:val="21"/>
        </w:rPr>
      </w:pPr>
    </w:p>
    <w:p w14:paraId="152B31C6">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（2）跨学科选修</w:t>
      </w:r>
      <w:r>
        <w:rPr>
          <w:rFonts w:hint="eastAsia"/>
          <w:color w:val="auto"/>
          <w:szCs w:val="21"/>
          <w:lang w:val="en-US" w:eastAsia="zh-CN"/>
        </w:rPr>
        <w:t>修读建议</w:t>
      </w:r>
      <w:r>
        <w:rPr>
          <w:rFonts w:hint="eastAsia"/>
          <w:color w:val="auto"/>
          <w:szCs w:val="21"/>
        </w:rPr>
        <w:t>（9学分，包含国际课程1学分）</w:t>
      </w:r>
    </w:p>
    <w:p w14:paraId="35214595">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lang w:val="en-US" w:eastAsia="zh-CN"/>
        </w:rPr>
        <w:t>推荐</w:t>
      </w:r>
      <w:r>
        <w:rPr>
          <w:color w:val="auto"/>
          <w:szCs w:val="21"/>
        </w:rPr>
        <w:t>课程</w:t>
      </w:r>
      <w:r>
        <w:rPr>
          <w:rFonts w:hint="eastAsia"/>
          <w:color w:val="auto"/>
          <w:szCs w:val="21"/>
        </w:rPr>
        <w:t>清单如下：</w:t>
      </w:r>
    </w:p>
    <w:tbl>
      <w:tblPr>
        <w:tblStyle w:val="18"/>
        <w:tblW w:w="7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950"/>
        <w:gridCol w:w="720"/>
        <w:gridCol w:w="1173"/>
        <w:gridCol w:w="717"/>
      </w:tblGrid>
      <w:tr w14:paraId="4D69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vAlign w:val="center"/>
          </w:tcPr>
          <w:p w14:paraId="5877380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课程名称</w:t>
            </w:r>
          </w:p>
        </w:tc>
        <w:tc>
          <w:tcPr>
            <w:tcW w:w="1950" w:type="dxa"/>
            <w:vAlign w:val="center"/>
          </w:tcPr>
          <w:p w14:paraId="70AC2DCA">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课程代码</w:t>
            </w:r>
          </w:p>
        </w:tc>
        <w:tc>
          <w:tcPr>
            <w:tcW w:w="720" w:type="dxa"/>
            <w:vAlign w:val="center"/>
          </w:tcPr>
          <w:p w14:paraId="18659DC3">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学分</w:t>
            </w:r>
          </w:p>
        </w:tc>
        <w:tc>
          <w:tcPr>
            <w:tcW w:w="1173" w:type="dxa"/>
            <w:vAlign w:val="center"/>
          </w:tcPr>
          <w:p w14:paraId="0D621397">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开课学期</w:t>
            </w:r>
          </w:p>
        </w:tc>
        <w:tc>
          <w:tcPr>
            <w:tcW w:w="717" w:type="dxa"/>
            <w:vAlign w:val="center"/>
          </w:tcPr>
          <w:p w14:paraId="069641D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备注</w:t>
            </w:r>
          </w:p>
        </w:tc>
      </w:tr>
      <w:tr w14:paraId="0A66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2EFE01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微观经济学</w:t>
            </w:r>
          </w:p>
        </w:tc>
        <w:tc>
          <w:tcPr>
            <w:tcW w:w="1950" w:type="dxa"/>
            <w:shd w:val="clear" w:color="auto" w:fill="auto"/>
            <w:vAlign w:val="center"/>
          </w:tcPr>
          <w:p w14:paraId="57750DE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103430</w:t>
            </w:r>
          </w:p>
        </w:tc>
        <w:tc>
          <w:tcPr>
            <w:tcW w:w="720" w:type="dxa"/>
            <w:shd w:val="clear" w:color="auto" w:fill="auto"/>
            <w:vAlign w:val="center"/>
          </w:tcPr>
          <w:p w14:paraId="40A3233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4D8A0B8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2</w:t>
            </w:r>
          </w:p>
        </w:tc>
        <w:tc>
          <w:tcPr>
            <w:tcW w:w="717" w:type="dxa"/>
            <w:vMerge w:val="restart"/>
            <w:shd w:val="clear" w:color="auto" w:fill="auto"/>
            <w:vAlign w:val="center"/>
          </w:tcPr>
          <w:p w14:paraId="43EA30F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r>
              <w:rPr>
                <w:rFonts w:hint="eastAsia" w:ascii="黑体" w:hAnsi="黑体" w:eastAsia="黑体" w:cs="黑体"/>
                <w:b/>
                <w:bCs/>
                <w:color w:val="auto"/>
                <w:szCs w:val="21"/>
              </w:rPr>
              <w:t>选修</w:t>
            </w:r>
          </w:p>
        </w:tc>
      </w:tr>
      <w:tr w14:paraId="2431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7B4E54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宏观经济学</w:t>
            </w:r>
          </w:p>
        </w:tc>
        <w:tc>
          <w:tcPr>
            <w:tcW w:w="1950" w:type="dxa"/>
            <w:shd w:val="clear" w:color="auto" w:fill="auto"/>
            <w:vAlign w:val="center"/>
          </w:tcPr>
          <w:p w14:paraId="41CD428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100096</w:t>
            </w:r>
          </w:p>
        </w:tc>
        <w:tc>
          <w:tcPr>
            <w:tcW w:w="720" w:type="dxa"/>
            <w:shd w:val="clear" w:color="auto" w:fill="auto"/>
            <w:vAlign w:val="center"/>
          </w:tcPr>
          <w:p w14:paraId="7A7E8F3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6449C83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7D93A519">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357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F02EC5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电子商务</w:t>
            </w:r>
          </w:p>
        </w:tc>
        <w:tc>
          <w:tcPr>
            <w:tcW w:w="1950" w:type="dxa"/>
            <w:shd w:val="clear" w:color="auto" w:fill="auto"/>
            <w:vAlign w:val="center"/>
          </w:tcPr>
          <w:p w14:paraId="4E3176E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100656</w:t>
            </w:r>
          </w:p>
        </w:tc>
        <w:tc>
          <w:tcPr>
            <w:tcW w:w="720" w:type="dxa"/>
            <w:shd w:val="clear" w:color="auto" w:fill="auto"/>
            <w:vAlign w:val="center"/>
          </w:tcPr>
          <w:p w14:paraId="5AAB900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2C2208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6C66EB2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68C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3C4FC3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管理学</w:t>
            </w:r>
          </w:p>
        </w:tc>
        <w:tc>
          <w:tcPr>
            <w:tcW w:w="1950" w:type="dxa"/>
            <w:shd w:val="clear" w:color="auto" w:fill="auto"/>
            <w:vAlign w:val="center"/>
          </w:tcPr>
          <w:p w14:paraId="370D7EF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101271</w:t>
            </w:r>
          </w:p>
        </w:tc>
        <w:tc>
          <w:tcPr>
            <w:tcW w:w="720" w:type="dxa"/>
            <w:shd w:val="clear" w:color="auto" w:fill="auto"/>
            <w:vAlign w:val="center"/>
          </w:tcPr>
          <w:p w14:paraId="1BCD66A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31E918F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566EDFC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2A5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F844BC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财务会计</w:t>
            </w:r>
          </w:p>
        </w:tc>
        <w:tc>
          <w:tcPr>
            <w:tcW w:w="1950" w:type="dxa"/>
            <w:shd w:val="clear" w:color="auto" w:fill="auto"/>
            <w:vAlign w:val="center"/>
          </w:tcPr>
          <w:p w14:paraId="115B2B9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101314</w:t>
            </w:r>
          </w:p>
        </w:tc>
        <w:tc>
          <w:tcPr>
            <w:tcW w:w="720" w:type="dxa"/>
            <w:shd w:val="clear" w:color="auto" w:fill="auto"/>
            <w:vAlign w:val="center"/>
          </w:tcPr>
          <w:p w14:paraId="71A513A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64EFE3E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6207070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B06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96741C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会计学</w:t>
            </w:r>
          </w:p>
        </w:tc>
        <w:tc>
          <w:tcPr>
            <w:tcW w:w="1950" w:type="dxa"/>
            <w:shd w:val="clear" w:color="auto" w:fill="auto"/>
            <w:vAlign w:val="center"/>
          </w:tcPr>
          <w:p w14:paraId="3952F71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101376</w:t>
            </w:r>
          </w:p>
        </w:tc>
        <w:tc>
          <w:tcPr>
            <w:tcW w:w="720" w:type="dxa"/>
            <w:shd w:val="clear" w:color="auto" w:fill="auto"/>
            <w:vAlign w:val="center"/>
          </w:tcPr>
          <w:p w14:paraId="3EDDDCA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6066244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498B2B3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266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2DF72E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政治经济学</w:t>
            </w:r>
          </w:p>
        </w:tc>
        <w:tc>
          <w:tcPr>
            <w:tcW w:w="1950" w:type="dxa"/>
            <w:shd w:val="clear" w:color="auto" w:fill="auto"/>
            <w:vAlign w:val="center"/>
          </w:tcPr>
          <w:p w14:paraId="1148E38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101619</w:t>
            </w:r>
          </w:p>
        </w:tc>
        <w:tc>
          <w:tcPr>
            <w:tcW w:w="720" w:type="dxa"/>
            <w:shd w:val="clear" w:color="auto" w:fill="auto"/>
            <w:vAlign w:val="center"/>
          </w:tcPr>
          <w:p w14:paraId="344CE44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4DDF01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514FEDE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E1A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38B17BC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公司金融</w:t>
            </w:r>
          </w:p>
        </w:tc>
        <w:tc>
          <w:tcPr>
            <w:tcW w:w="1950" w:type="dxa"/>
            <w:shd w:val="clear" w:color="auto" w:fill="auto"/>
            <w:vAlign w:val="center"/>
          </w:tcPr>
          <w:p w14:paraId="0BE5C787">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101110</w:t>
            </w:r>
          </w:p>
        </w:tc>
        <w:tc>
          <w:tcPr>
            <w:tcW w:w="720" w:type="dxa"/>
            <w:shd w:val="clear" w:color="auto" w:fill="auto"/>
            <w:vAlign w:val="center"/>
          </w:tcPr>
          <w:p w14:paraId="09244EC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50EFD04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3</w:t>
            </w:r>
          </w:p>
        </w:tc>
        <w:tc>
          <w:tcPr>
            <w:tcW w:w="717" w:type="dxa"/>
            <w:vMerge w:val="continue"/>
            <w:shd w:val="clear" w:color="auto" w:fill="auto"/>
            <w:vAlign w:val="center"/>
          </w:tcPr>
          <w:p w14:paraId="1B15604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EDB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F9AB41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信息系统分析与设计</w:t>
            </w:r>
          </w:p>
        </w:tc>
        <w:tc>
          <w:tcPr>
            <w:tcW w:w="1950" w:type="dxa"/>
            <w:shd w:val="clear" w:color="auto" w:fill="auto"/>
            <w:vAlign w:val="center"/>
          </w:tcPr>
          <w:p w14:paraId="1CFB1A9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100319</w:t>
            </w:r>
          </w:p>
        </w:tc>
        <w:tc>
          <w:tcPr>
            <w:tcW w:w="720" w:type="dxa"/>
            <w:shd w:val="clear" w:color="auto" w:fill="auto"/>
            <w:vAlign w:val="center"/>
          </w:tcPr>
          <w:p w14:paraId="6836E23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4</w:t>
            </w:r>
          </w:p>
        </w:tc>
        <w:tc>
          <w:tcPr>
            <w:tcW w:w="1173" w:type="dxa"/>
            <w:shd w:val="clear" w:color="auto" w:fill="auto"/>
            <w:vAlign w:val="center"/>
          </w:tcPr>
          <w:p w14:paraId="1C92863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3C33EB6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FF8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43488DD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市场营销学</w:t>
            </w:r>
          </w:p>
        </w:tc>
        <w:tc>
          <w:tcPr>
            <w:tcW w:w="1950" w:type="dxa"/>
            <w:shd w:val="clear" w:color="auto" w:fill="auto"/>
            <w:vAlign w:val="center"/>
          </w:tcPr>
          <w:p w14:paraId="51776E7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101639</w:t>
            </w:r>
          </w:p>
        </w:tc>
        <w:tc>
          <w:tcPr>
            <w:tcW w:w="720" w:type="dxa"/>
            <w:shd w:val="clear" w:color="auto" w:fill="auto"/>
            <w:vAlign w:val="center"/>
          </w:tcPr>
          <w:p w14:paraId="6DD6A06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5DD38373">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1666C74B">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685A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3AFFC0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货币银行学</w:t>
            </w:r>
          </w:p>
        </w:tc>
        <w:tc>
          <w:tcPr>
            <w:tcW w:w="1950" w:type="dxa"/>
            <w:shd w:val="clear" w:color="auto" w:fill="auto"/>
            <w:vAlign w:val="center"/>
          </w:tcPr>
          <w:p w14:paraId="416392F2">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107385</w:t>
            </w:r>
          </w:p>
        </w:tc>
        <w:tc>
          <w:tcPr>
            <w:tcW w:w="720" w:type="dxa"/>
            <w:shd w:val="clear" w:color="auto" w:fill="auto"/>
            <w:vAlign w:val="center"/>
          </w:tcPr>
          <w:p w14:paraId="24092D0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F101FB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789E34C1">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1ABB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7B674E3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投资学</w:t>
            </w:r>
          </w:p>
        </w:tc>
        <w:tc>
          <w:tcPr>
            <w:tcW w:w="1950" w:type="dxa"/>
            <w:shd w:val="clear" w:color="auto" w:fill="auto"/>
            <w:vAlign w:val="center"/>
          </w:tcPr>
          <w:p w14:paraId="453189DF">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100054</w:t>
            </w:r>
          </w:p>
        </w:tc>
        <w:tc>
          <w:tcPr>
            <w:tcW w:w="720" w:type="dxa"/>
            <w:shd w:val="clear" w:color="auto" w:fill="auto"/>
            <w:vAlign w:val="center"/>
          </w:tcPr>
          <w:p w14:paraId="188318D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785CA80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15A5F52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C9E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231315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经济法概论</w:t>
            </w:r>
          </w:p>
        </w:tc>
        <w:tc>
          <w:tcPr>
            <w:tcW w:w="1950" w:type="dxa"/>
            <w:shd w:val="clear" w:color="auto" w:fill="auto"/>
            <w:vAlign w:val="center"/>
          </w:tcPr>
          <w:p w14:paraId="543EDB01">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100481</w:t>
            </w:r>
          </w:p>
        </w:tc>
        <w:tc>
          <w:tcPr>
            <w:tcW w:w="720" w:type="dxa"/>
            <w:shd w:val="clear" w:color="auto" w:fill="auto"/>
            <w:vAlign w:val="center"/>
          </w:tcPr>
          <w:p w14:paraId="0A648DA2">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4E9A324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0C87B10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2773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759796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财务管理</w:t>
            </w:r>
          </w:p>
        </w:tc>
        <w:tc>
          <w:tcPr>
            <w:tcW w:w="1950" w:type="dxa"/>
            <w:shd w:val="clear" w:color="auto" w:fill="auto"/>
            <w:vAlign w:val="center"/>
          </w:tcPr>
          <w:p w14:paraId="6E933B1C">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102826</w:t>
            </w:r>
          </w:p>
        </w:tc>
        <w:tc>
          <w:tcPr>
            <w:tcW w:w="720" w:type="dxa"/>
            <w:shd w:val="clear" w:color="auto" w:fill="auto"/>
            <w:vAlign w:val="center"/>
          </w:tcPr>
          <w:p w14:paraId="214F811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0217C94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6591DA5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486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F7A2D0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管理会计</w:t>
            </w:r>
          </w:p>
        </w:tc>
        <w:tc>
          <w:tcPr>
            <w:tcW w:w="1950" w:type="dxa"/>
            <w:shd w:val="clear" w:color="auto" w:fill="auto"/>
            <w:vAlign w:val="center"/>
          </w:tcPr>
          <w:p w14:paraId="5D1EAE80">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101568</w:t>
            </w:r>
          </w:p>
        </w:tc>
        <w:tc>
          <w:tcPr>
            <w:tcW w:w="720" w:type="dxa"/>
            <w:shd w:val="clear" w:color="auto" w:fill="auto"/>
            <w:vAlign w:val="center"/>
          </w:tcPr>
          <w:p w14:paraId="7D19447B">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3</w:t>
            </w:r>
          </w:p>
        </w:tc>
        <w:tc>
          <w:tcPr>
            <w:tcW w:w="1173" w:type="dxa"/>
            <w:shd w:val="clear" w:color="auto" w:fill="auto"/>
            <w:vAlign w:val="center"/>
          </w:tcPr>
          <w:p w14:paraId="4D6516A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4</w:t>
            </w:r>
          </w:p>
        </w:tc>
        <w:tc>
          <w:tcPr>
            <w:tcW w:w="717" w:type="dxa"/>
            <w:vMerge w:val="continue"/>
            <w:shd w:val="clear" w:color="auto" w:fill="auto"/>
            <w:vAlign w:val="center"/>
          </w:tcPr>
          <w:p w14:paraId="3A23A538">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0AD9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7EA30F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国际金融</w:t>
            </w:r>
          </w:p>
        </w:tc>
        <w:tc>
          <w:tcPr>
            <w:tcW w:w="1950" w:type="dxa"/>
            <w:shd w:val="clear" w:color="auto" w:fill="auto"/>
            <w:vAlign w:val="center"/>
          </w:tcPr>
          <w:p w14:paraId="5E65FDE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100830</w:t>
            </w:r>
          </w:p>
        </w:tc>
        <w:tc>
          <w:tcPr>
            <w:tcW w:w="720" w:type="dxa"/>
            <w:shd w:val="clear" w:color="auto" w:fill="auto"/>
            <w:vAlign w:val="center"/>
          </w:tcPr>
          <w:p w14:paraId="09C95B6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CC4873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6A84FC8F">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876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6544F40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国际贸易</w:t>
            </w:r>
          </w:p>
        </w:tc>
        <w:tc>
          <w:tcPr>
            <w:tcW w:w="1950" w:type="dxa"/>
            <w:shd w:val="clear" w:color="auto" w:fill="auto"/>
            <w:vAlign w:val="center"/>
          </w:tcPr>
          <w:p w14:paraId="215266F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100831</w:t>
            </w:r>
          </w:p>
        </w:tc>
        <w:tc>
          <w:tcPr>
            <w:tcW w:w="720" w:type="dxa"/>
            <w:shd w:val="clear" w:color="auto" w:fill="auto"/>
            <w:vAlign w:val="center"/>
          </w:tcPr>
          <w:p w14:paraId="7144007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58D1E789">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07AC4F9C">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336A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0106AF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大数据及其在经济领域的应用</w:t>
            </w:r>
          </w:p>
        </w:tc>
        <w:tc>
          <w:tcPr>
            <w:tcW w:w="1950" w:type="dxa"/>
            <w:shd w:val="clear" w:color="auto" w:fill="auto"/>
            <w:vAlign w:val="center"/>
          </w:tcPr>
          <w:p w14:paraId="10E522D6">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102336</w:t>
            </w:r>
          </w:p>
        </w:tc>
        <w:tc>
          <w:tcPr>
            <w:tcW w:w="720" w:type="dxa"/>
            <w:shd w:val="clear" w:color="auto" w:fill="auto"/>
            <w:vAlign w:val="center"/>
          </w:tcPr>
          <w:p w14:paraId="417624B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6C6A5D3A">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5</w:t>
            </w:r>
          </w:p>
        </w:tc>
        <w:tc>
          <w:tcPr>
            <w:tcW w:w="717" w:type="dxa"/>
            <w:vMerge w:val="continue"/>
            <w:shd w:val="clear" w:color="auto" w:fill="auto"/>
            <w:vAlign w:val="center"/>
          </w:tcPr>
          <w:p w14:paraId="47877A46">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5ADD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1CB61BB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社会保障学</w:t>
            </w:r>
          </w:p>
        </w:tc>
        <w:tc>
          <w:tcPr>
            <w:tcW w:w="1950" w:type="dxa"/>
            <w:shd w:val="clear" w:color="auto" w:fill="auto"/>
            <w:vAlign w:val="center"/>
          </w:tcPr>
          <w:p w14:paraId="1151B8DC">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100016</w:t>
            </w:r>
          </w:p>
        </w:tc>
        <w:tc>
          <w:tcPr>
            <w:tcW w:w="720" w:type="dxa"/>
            <w:shd w:val="clear" w:color="auto" w:fill="auto"/>
            <w:vAlign w:val="center"/>
          </w:tcPr>
          <w:p w14:paraId="072D9C0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7BC8672D">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vAlign w:val="center"/>
          </w:tcPr>
          <w:p w14:paraId="522B1BFD">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4819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00D5271E">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财政学</w:t>
            </w:r>
          </w:p>
        </w:tc>
        <w:tc>
          <w:tcPr>
            <w:tcW w:w="1950" w:type="dxa"/>
            <w:shd w:val="clear" w:color="auto" w:fill="auto"/>
            <w:vAlign w:val="center"/>
          </w:tcPr>
          <w:p w14:paraId="0C4A5270">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102041</w:t>
            </w:r>
          </w:p>
        </w:tc>
        <w:tc>
          <w:tcPr>
            <w:tcW w:w="720" w:type="dxa"/>
            <w:shd w:val="clear" w:color="auto" w:fill="auto"/>
            <w:vAlign w:val="center"/>
          </w:tcPr>
          <w:p w14:paraId="1A49506F">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099F64B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tcPr>
          <w:p w14:paraId="42E78D05">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363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21F6D5B4">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 xml:space="preserve"> </w:t>
            </w:r>
            <w:r>
              <w:rPr>
                <w:rStyle w:val="27"/>
                <w:rFonts w:hint="default"/>
                <w:color w:val="auto"/>
                <w:lang w:bidi="ar"/>
              </w:rPr>
              <w:t>金融机构与金融市场</w:t>
            </w:r>
          </w:p>
        </w:tc>
        <w:tc>
          <w:tcPr>
            <w:tcW w:w="1950" w:type="dxa"/>
            <w:shd w:val="clear" w:color="auto" w:fill="auto"/>
            <w:vAlign w:val="center"/>
          </w:tcPr>
          <w:p w14:paraId="15712326">
            <w:pPr>
              <w:pageBreakBefore w:val="0"/>
              <w:widowControl/>
              <w:kinsoku/>
              <w:wordWrap/>
              <w:overflowPunct/>
              <w:topLinePunct w:val="0"/>
              <w:autoSpaceDE/>
              <w:autoSpaceDN/>
              <w:bidi w:val="0"/>
              <w:adjustRightInd/>
              <w:snapToGrid/>
              <w:jc w:val="center"/>
              <w:textAlignment w:val="center"/>
              <w:outlineLvl w:val="9"/>
              <w:rPr>
                <w:rFonts w:hint="default" w:ascii="黑体" w:hAnsi="黑体" w:eastAsia="等线" w:cs="黑体"/>
                <w:color w:val="auto"/>
                <w:szCs w:val="21"/>
                <w:lang w:val="en-US" w:eastAsia="zh-CN"/>
              </w:rPr>
            </w:pPr>
            <w:r>
              <w:rPr>
                <w:rFonts w:hint="eastAsia" w:ascii="等线" w:hAnsi="等线" w:eastAsia="等线" w:cs="等线"/>
                <w:color w:val="auto"/>
                <w:kern w:val="0"/>
                <w:sz w:val="18"/>
                <w:szCs w:val="18"/>
                <w:lang w:val="en-US" w:eastAsia="zh-CN" w:bidi="ar"/>
              </w:rPr>
              <w:t>101566</w:t>
            </w:r>
          </w:p>
        </w:tc>
        <w:tc>
          <w:tcPr>
            <w:tcW w:w="720" w:type="dxa"/>
            <w:shd w:val="clear" w:color="auto" w:fill="auto"/>
            <w:vAlign w:val="center"/>
          </w:tcPr>
          <w:p w14:paraId="305E2A98">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2</w:t>
            </w:r>
          </w:p>
        </w:tc>
        <w:tc>
          <w:tcPr>
            <w:tcW w:w="1173" w:type="dxa"/>
            <w:shd w:val="clear" w:color="auto" w:fill="auto"/>
            <w:vAlign w:val="center"/>
          </w:tcPr>
          <w:p w14:paraId="2794CF2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6</w:t>
            </w:r>
          </w:p>
        </w:tc>
        <w:tc>
          <w:tcPr>
            <w:tcW w:w="717" w:type="dxa"/>
            <w:vMerge w:val="continue"/>
            <w:shd w:val="clear" w:color="auto" w:fill="auto"/>
          </w:tcPr>
          <w:p w14:paraId="12DAEA86">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r w14:paraId="7034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1" w:type="dxa"/>
            <w:shd w:val="clear" w:color="auto" w:fill="auto"/>
            <w:vAlign w:val="center"/>
          </w:tcPr>
          <w:p w14:paraId="598B0CF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暑期国际课程</w:t>
            </w:r>
          </w:p>
        </w:tc>
        <w:tc>
          <w:tcPr>
            <w:tcW w:w="1950" w:type="dxa"/>
            <w:shd w:val="clear" w:color="auto" w:fill="auto"/>
            <w:vAlign w:val="center"/>
          </w:tcPr>
          <w:p w14:paraId="467CEEF1">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w:t>
            </w:r>
          </w:p>
        </w:tc>
        <w:tc>
          <w:tcPr>
            <w:tcW w:w="720" w:type="dxa"/>
            <w:shd w:val="clear" w:color="auto" w:fill="auto"/>
            <w:vAlign w:val="center"/>
          </w:tcPr>
          <w:p w14:paraId="41E76885">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等线" w:hAnsi="等线" w:eastAsia="等线" w:cs="等线"/>
                <w:color w:val="auto"/>
                <w:kern w:val="0"/>
                <w:sz w:val="18"/>
                <w:szCs w:val="18"/>
                <w:lang w:bidi="ar"/>
              </w:rPr>
              <w:t>1</w:t>
            </w:r>
          </w:p>
        </w:tc>
        <w:tc>
          <w:tcPr>
            <w:tcW w:w="1173" w:type="dxa"/>
            <w:shd w:val="clear" w:color="auto" w:fill="auto"/>
            <w:vAlign w:val="center"/>
          </w:tcPr>
          <w:p w14:paraId="65A18F67">
            <w:pPr>
              <w:pageBreakBefore w:val="0"/>
              <w:widowControl/>
              <w:kinsoku/>
              <w:wordWrap/>
              <w:overflowPunct/>
              <w:topLinePunct w:val="0"/>
              <w:autoSpaceDE/>
              <w:autoSpaceDN/>
              <w:bidi w:val="0"/>
              <w:adjustRightInd/>
              <w:snapToGrid/>
              <w:jc w:val="center"/>
              <w:textAlignment w:val="center"/>
              <w:outlineLvl w:val="9"/>
              <w:rPr>
                <w:rFonts w:ascii="黑体" w:hAnsi="黑体" w:eastAsia="黑体" w:cs="黑体"/>
                <w:color w:val="auto"/>
                <w:szCs w:val="21"/>
              </w:rPr>
            </w:pPr>
            <w:r>
              <w:rPr>
                <w:rFonts w:hint="eastAsia" w:ascii="黑体" w:hAnsi="宋体" w:eastAsia="黑体" w:cs="黑体"/>
                <w:color w:val="auto"/>
                <w:kern w:val="0"/>
                <w:szCs w:val="21"/>
                <w:lang w:bidi="ar"/>
              </w:rPr>
              <w:t>\</w:t>
            </w:r>
          </w:p>
        </w:tc>
        <w:tc>
          <w:tcPr>
            <w:tcW w:w="717" w:type="dxa"/>
            <w:vMerge w:val="continue"/>
            <w:shd w:val="clear" w:color="auto" w:fill="auto"/>
            <w:vAlign w:val="center"/>
          </w:tcPr>
          <w:p w14:paraId="02076180">
            <w:pPr>
              <w:pageBreakBefore w:val="0"/>
              <w:kinsoku/>
              <w:wordWrap/>
              <w:overflowPunct/>
              <w:topLinePunct w:val="0"/>
              <w:autoSpaceDE/>
              <w:autoSpaceDN/>
              <w:bidi w:val="0"/>
              <w:adjustRightInd/>
              <w:snapToGrid/>
              <w:jc w:val="center"/>
              <w:outlineLvl w:val="9"/>
              <w:rPr>
                <w:rFonts w:ascii="黑体" w:hAnsi="黑体" w:eastAsia="黑体" w:cs="黑体"/>
                <w:b/>
                <w:bCs/>
                <w:color w:val="auto"/>
                <w:szCs w:val="21"/>
              </w:rPr>
            </w:pPr>
          </w:p>
        </w:tc>
      </w:tr>
    </w:tbl>
    <w:p w14:paraId="1AF12A5C">
      <w:pPr>
        <w:pageBreakBefore w:val="0"/>
        <w:kinsoku/>
        <w:wordWrap/>
        <w:overflowPunct/>
        <w:topLinePunct w:val="0"/>
        <w:autoSpaceDE/>
        <w:autoSpaceDN/>
        <w:bidi w:val="0"/>
        <w:adjustRightInd/>
        <w:snapToGrid/>
        <w:outlineLvl w:val="9"/>
        <w:rPr>
          <w:color w:val="auto"/>
          <w:szCs w:val="21"/>
        </w:rPr>
      </w:pPr>
    </w:p>
    <w:p w14:paraId="30F2C4BE">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asciiTheme="minorHAnsi" w:hAnsiTheme="minorHAnsi" w:eastAsiaTheme="minorEastAsia" w:cstheme="minorBidi"/>
          <w:color w:val="auto"/>
          <w:szCs w:val="21"/>
        </w:rPr>
        <w:t>（</w:t>
      </w:r>
      <w:r>
        <w:rPr>
          <w:rFonts w:hint="eastAsia" w:cstheme="minorBidi"/>
          <w:color w:val="auto"/>
          <w:szCs w:val="21"/>
        </w:rPr>
        <w:t>3</w:t>
      </w:r>
      <w:r>
        <w:rPr>
          <w:rFonts w:hint="eastAsia" w:asciiTheme="minorHAnsi" w:hAnsiTheme="minorHAnsi" w:eastAsiaTheme="minorEastAsia" w:cstheme="minorBidi"/>
          <w:color w:val="auto"/>
          <w:szCs w:val="21"/>
        </w:rPr>
        <w:t>）</w:t>
      </w:r>
      <w:r>
        <w:rPr>
          <w:rFonts w:hint="eastAsia"/>
          <w:color w:val="auto"/>
          <w:szCs w:val="21"/>
        </w:rPr>
        <w:t>双创训练认定要求（2学分）</w:t>
      </w:r>
    </w:p>
    <w:p w14:paraId="6C72852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参照《上海财经大学本科生第二课堂(实践教育)学分认定及实施办法》中“学术报告</w:t>
      </w:r>
      <w:r>
        <w:rPr>
          <w:rFonts w:hint="eastAsia" w:ascii="华文中宋" w:hAnsi="华文中宋" w:eastAsia="华文中宋" w:cs="华文中宋"/>
          <w:color w:val="auto"/>
          <w:kern w:val="0"/>
          <w:szCs w:val="21"/>
        </w:rPr>
        <w:br w:type="textWrapping"/>
      </w:r>
      <w:r>
        <w:rPr>
          <w:rFonts w:hint="eastAsia" w:ascii="华文中宋" w:hAnsi="华文中宋" w:eastAsia="华文中宋" w:cs="华文中宋"/>
          <w:color w:val="auto"/>
          <w:kern w:val="0"/>
          <w:szCs w:val="21"/>
        </w:rPr>
        <w:t>与讲座类”、“创新创业与科研类”学分获取要求，修满2分。</w:t>
      </w:r>
    </w:p>
    <w:p w14:paraId="006A80F0">
      <w:pPr>
        <w:pageBreakBefore w:val="0"/>
        <w:kinsoku/>
        <w:wordWrap/>
        <w:overflowPunct/>
        <w:topLinePunct w:val="0"/>
        <w:autoSpaceDE/>
        <w:autoSpaceDN/>
        <w:bidi w:val="0"/>
        <w:adjustRightInd/>
        <w:snapToGrid/>
        <w:ind w:left="420" w:leftChars="200"/>
        <w:outlineLvl w:val="9"/>
        <w:rPr>
          <w:color w:val="auto"/>
          <w:szCs w:val="21"/>
        </w:rPr>
      </w:pPr>
    </w:p>
    <w:p w14:paraId="10E115FC">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2.</w:t>
      </w:r>
      <w:r>
        <w:rPr>
          <w:rFonts w:hint="eastAsia"/>
          <w:b/>
          <w:bCs/>
          <w:color w:val="auto"/>
          <w:szCs w:val="21"/>
        </w:rPr>
        <w:t>创业型培养模块</w:t>
      </w:r>
    </w:p>
    <w:p w14:paraId="26153120">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（1）创业课程群参照创业型培养方案。</w:t>
      </w:r>
    </w:p>
    <w:p w14:paraId="160A700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（2）</w:t>
      </w:r>
      <w:r>
        <w:rPr>
          <w:rFonts w:hint="eastAsia" w:ascii="华文中宋" w:hAnsi="华文中宋" w:eastAsia="华文中宋" w:cs="华文中宋"/>
          <w:color w:val="auto"/>
          <w:kern w:val="0"/>
          <w:szCs w:val="21"/>
        </w:rPr>
        <w:t>专业方向模块课程清单参照卓越型该方向的专业方向模块课程清单。</w:t>
      </w:r>
    </w:p>
    <w:p w14:paraId="2978A51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（3）跨学科选修课程清单参照卓越型该方向的跨学科选修模块课程清单。</w:t>
      </w:r>
    </w:p>
    <w:p w14:paraId="1462D5DD">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p>
    <w:p w14:paraId="2EB34156">
      <w:pPr>
        <w:pageBreakBefore w:val="0"/>
        <w:kinsoku/>
        <w:wordWrap/>
        <w:overflowPunct/>
        <w:topLinePunct w:val="0"/>
        <w:autoSpaceDE/>
        <w:autoSpaceDN/>
        <w:bidi w:val="0"/>
        <w:adjustRightInd/>
        <w:snapToGrid/>
        <w:outlineLvl w:val="9"/>
        <w:rPr>
          <w:b/>
          <w:bCs/>
          <w:color w:val="auto"/>
          <w:szCs w:val="21"/>
        </w:rPr>
      </w:pPr>
    </w:p>
    <w:p w14:paraId="2DDE4B5C">
      <w:pPr>
        <w:pStyle w:val="20"/>
        <w:pageBreakBefore w:val="0"/>
        <w:widowControl/>
        <w:kinsoku/>
        <w:wordWrap/>
        <w:overflowPunct/>
        <w:topLinePunct w:val="0"/>
        <w:autoSpaceDE/>
        <w:autoSpaceDN/>
        <w:bidi w:val="0"/>
        <w:adjustRightInd/>
        <w:snapToGrid/>
        <w:ind w:firstLine="0" w:firstLineChars="0"/>
        <w:jc w:val="left"/>
        <w:outlineLvl w:val="9"/>
        <w:rPr>
          <w:rFonts w:ascii="宋体" w:hAnsi="宋体" w:eastAsia="宋体"/>
          <w:b/>
          <w:bCs/>
          <w:color w:val="auto"/>
          <w:szCs w:val="21"/>
        </w:rPr>
      </w:pPr>
      <w:r>
        <w:rPr>
          <w:rFonts w:hint="eastAsia" w:asciiTheme="minorHAnsi" w:hAnsiTheme="minorHAnsi" w:eastAsiaTheme="minorEastAsia" w:cstheme="minorBidi"/>
          <w:b/>
          <w:bCs/>
          <w:color w:val="auto"/>
          <w:szCs w:val="21"/>
        </w:rPr>
        <w:t>II、</w:t>
      </w:r>
      <w:r>
        <w:rPr>
          <w:rFonts w:hint="eastAsia" w:ascii="宋体" w:hAnsi="宋体" w:eastAsia="宋体"/>
          <w:b/>
          <w:bCs/>
          <w:color w:val="auto"/>
          <w:szCs w:val="21"/>
        </w:rPr>
        <w:t>列明培养</w:t>
      </w:r>
      <w:r>
        <w:rPr>
          <w:rFonts w:ascii="宋体" w:hAnsi="宋体" w:eastAsia="宋体"/>
          <w:b/>
          <w:bCs/>
          <w:color w:val="auto"/>
          <w:szCs w:val="21"/>
        </w:rPr>
        <w:t>目标与</w:t>
      </w:r>
      <w:r>
        <w:rPr>
          <w:rFonts w:hint="eastAsia" w:ascii="宋体" w:hAnsi="宋体" w:eastAsia="宋体"/>
          <w:b/>
          <w:bCs/>
          <w:color w:val="auto"/>
          <w:szCs w:val="21"/>
        </w:rPr>
        <w:t>相关课程设置关系</w:t>
      </w:r>
      <w:r>
        <w:rPr>
          <w:rFonts w:ascii="宋体" w:hAnsi="宋体" w:eastAsia="宋体"/>
          <w:b/>
          <w:bCs/>
          <w:color w:val="auto"/>
          <w:szCs w:val="21"/>
        </w:rPr>
        <w:t>，</w:t>
      </w:r>
      <w:r>
        <w:rPr>
          <w:rFonts w:hint="eastAsia" w:ascii="宋体" w:hAnsi="宋体" w:eastAsia="宋体"/>
          <w:b/>
          <w:bCs/>
          <w:color w:val="auto"/>
          <w:szCs w:val="21"/>
        </w:rPr>
        <w:t>以图表或表格</w:t>
      </w:r>
      <w:r>
        <w:rPr>
          <w:rFonts w:ascii="宋体" w:hAnsi="宋体" w:eastAsia="宋体"/>
          <w:b/>
          <w:bCs/>
          <w:color w:val="auto"/>
          <w:szCs w:val="21"/>
        </w:rPr>
        <w:t>形式</w:t>
      </w:r>
      <w:r>
        <w:rPr>
          <w:rFonts w:hint="eastAsia" w:ascii="宋体" w:hAnsi="宋体" w:eastAsia="宋体"/>
          <w:b/>
          <w:bCs/>
          <w:color w:val="auto"/>
          <w:szCs w:val="21"/>
        </w:rPr>
        <w:t>呈现</w:t>
      </w:r>
      <w:r>
        <w:rPr>
          <w:rFonts w:ascii="宋体" w:hAnsi="宋体" w:eastAsia="宋体"/>
          <w:b/>
          <w:bCs/>
          <w:color w:val="auto"/>
          <w:szCs w:val="21"/>
        </w:rPr>
        <w:t>。</w:t>
      </w:r>
    </w:p>
    <w:p w14:paraId="7B8980D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80" w:firstLineChars="200"/>
        <w:jc w:val="center"/>
        <w:outlineLvl w:val="9"/>
        <w:rPr>
          <w:rFonts w:ascii="黑体" w:hAnsi="黑体" w:eastAsia="黑体" w:cs="宋体"/>
          <w:color w:val="auto"/>
          <w:kern w:val="0"/>
          <w:sz w:val="24"/>
        </w:rPr>
      </w:pPr>
      <w:r>
        <w:rPr>
          <w:rFonts w:hint="eastAsia" w:ascii="黑体" w:hAnsi="黑体" w:eastAsia="黑体" w:cs="宋体"/>
          <w:color w:val="auto"/>
          <w:kern w:val="0"/>
          <w:sz w:val="24"/>
        </w:rPr>
        <w:t>培养方案中课程与知识领域对应情况</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021"/>
        <w:gridCol w:w="3032"/>
        <w:gridCol w:w="2743"/>
      </w:tblGrid>
      <w:tr w14:paraId="4EDA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6520D63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序号</w:t>
            </w:r>
          </w:p>
        </w:tc>
        <w:tc>
          <w:tcPr>
            <w:tcW w:w="1186" w:type="pct"/>
            <w:vAlign w:val="center"/>
          </w:tcPr>
          <w:p w14:paraId="37C66CEC">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知识领域</w:t>
            </w:r>
          </w:p>
        </w:tc>
        <w:tc>
          <w:tcPr>
            <w:tcW w:w="1779" w:type="pct"/>
            <w:vAlign w:val="center"/>
          </w:tcPr>
          <w:p w14:paraId="524D600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教育部教指委专业标准</w:t>
            </w:r>
          </w:p>
        </w:tc>
        <w:tc>
          <w:tcPr>
            <w:tcW w:w="1609" w:type="pct"/>
            <w:vAlign w:val="center"/>
          </w:tcPr>
          <w:p w14:paraId="7D6961D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本专业开设的相关课程</w:t>
            </w:r>
          </w:p>
        </w:tc>
      </w:tr>
      <w:tr w14:paraId="4E79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3D56908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1</w:t>
            </w:r>
          </w:p>
        </w:tc>
        <w:tc>
          <w:tcPr>
            <w:tcW w:w="1186" w:type="pct"/>
            <w:vAlign w:val="center"/>
          </w:tcPr>
          <w:p w14:paraId="3CF43B6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基础性知识</w:t>
            </w:r>
          </w:p>
        </w:tc>
        <w:tc>
          <w:tcPr>
            <w:tcW w:w="1779" w:type="pct"/>
            <w:vAlign w:val="center"/>
          </w:tcPr>
          <w:p w14:paraId="0097B18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包括经济学、管理学、政治学、社会学和法学等社会科学知识，以及有利于促进学生全面发展的人文、艺术和自然科学知识。</w:t>
            </w:r>
          </w:p>
        </w:tc>
        <w:tc>
          <w:tcPr>
            <w:tcW w:w="2743" w:type="dxa"/>
            <w:vAlign w:val="center"/>
          </w:tcPr>
          <w:p w14:paraId="5681D94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通识教育课程体系中的思想政治理论课程模块</w:t>
            </w:r>
            <w:r>
              <w:rPr>
                <w:rFonts w:hint="eastAsia" w:ascii="华文中宋" w:hAnsi="华文中宋" w:eastAsia="华文中宋" w:cs="华文中宋"/>
                <w:color w:val="auto"/>
                <w:kern w:val="0"/>
                <w:szCs w:val="21"/>
                <w:lang w:val="en-US" w:eastAsia="zh-CN"/>
              </w:rPr>
              <w:t>、通识限选课程、</w:t>
            </w:r>
            <w:r>
              <w:rPr>
                <w:rFonts w:hint="eastAsia" w:ascii="华文中宋" w:hAnsi="华文中宋" w:eastAsia="华文中宋" w:cs="华文中宋"/>
                <w:color w:val="auto"/>
                <w:kern w:val="0"/>
                <w:szCs w:val="21"/>
              </w:rPr>
              <w:t>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个性化培养课程体系以及第二课堂。</w:t>
            </w:r>
          </w:p>
        </w:tc>
      </w:tr>
      <w:tr w14:paraId="7DDC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2EA93E1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2</w:t>
            </w:r>
          </w:p>
        </w:tc>
        <w:tc>
          <w:tcPr>
            <w:tcW w:w="1186" w:type="pct"/>
            <w:vAlign w:val="center"/>
          </w:tcPr>
          <w:p w14:paraId="2DC05F9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专业性知识</w:t>
            </w:r>
          </w:p>
        </w:tc>
        <w:tc>
          <w:tcPr>
            <w:tcW w:w="1779" w:type="pct"/>
            <w:vAlign w:val="center"/>
          </w:tcPr>
          <w:p w14:paraId="481FC5CC">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w:t>
            </w:r>
            <w:r>
              <w:rPr>
                <w:rFonts w:hint="eastAsia" w:ascii="华文中宋" w:hAnsi="华文中宋" w:eastAsia="华文中宋" w:cs="华文中宋"/>
                <w:color w:val="auto"/>
                <w:kern w:val="0"/>
                <w:szCs w:val="21"/>
                <w:lang w:val="en-US" w:eastAsia="zh-CN"/>
              </w:rPr>
              <w:t>该</w:t>
            </w:r>
            <w:r>
              <w:rPr>
                <w:rFonts w:hint="eastAsia" w:ascii="华文中宋" w:hAnsi="华文中宋" w:eastAsia="华文中宋" w:cs="华文中宋"/>
                <w:color w:val="auto"/>
                <w:kern w:val="0"/>
                <w:szCs w:val="21"/>
              </w:rPr>
              <w:t>专业的基本知识、基本理论和基本技能。</w:t>
            </w:r>
          </w:p>
        </w:tc>
        <w:tc>
          <w:tcPr>
            <w:tcW w:w="2743" w:type="dxa"/>
            <w:vAlign w:val="center"/>
          </w:tcPr>
          <w:p w14:paraId="05F407D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学科共同课、专业</w:t>
            </w:r>
            <w:r>
              <w:rPr>
                <w:rFonts w:hint="eastAsia" w:ascii="华文中宋" w:hAnsi="华文中宋" w:eastAsia="华文中宋" w:cs="华文中宋"/>
                <w:color w:val="auto"/>
                <w:kern w:val="0"/>
                <w:szCs w:val="21"/>
                <w:lang w:val="en-US" w:eastAsia="zh-CN"/>
              </w:rPr>
              <w:t>基础</w:t>
            </w:r>
            <w:r>
              <w:rPr>
                <w:rFonts w:hint="eastAsia" w:ascii="华文中宋" w:hAnsi="华文中宋" w:eastAsia="华文中宋" w:cs="华文中宋"/>
                <w:color w:val="auto"/>
                <w:kern w:val="0"/>
                <w:szCs w:val="21"/>
              </w:rPr>
              <w:t>课以及个性化培养课程中的部分课程。</w:t>
            </w:r>
          </w:p>
        </w:tc>
      </w:tr>
      <w:tr w14:paraId="49C4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125488D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3</w:t>
            </w:r>
          </w:p>
        </w:tc>
        <w:tc>
          <w:tcPr>
            <w:tcW w:w="1186" w:type="pct"/>
            <w:vAlign w:val="center"/>
          </w:tcPr>
          <w:p w14:paraId="501171E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工具性知识</w:t>
            </w:r>
          </w:p>
        </w:tc>
        <w:tc>
          <w:tcPr>
            <w:tcW w:w="1779" w:type="pct"/>
            <w:vAlign w:val="center"/>
          </w:tcPr>
          <w:p w14:paraId="484B525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包括数学、外语、计算机及信息技术应用、文献检索、社会调查与研究方法、论文写作。</w:t>
            </w:r>
          </w:p>
        </w:tc>
        <w:tc>
          <w:tcPr>
            <w:tcW w:w="2743" w:type="dxa"/>
            <w:vAlign w:val="center"/>
          </w:tcPr>
          <w:p w14:paraId="0CA24F30">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通识教育模块中的人工智能课程模块、外语课程模块</w:t>
            </w:r>
            <w:r>
              <w:rPr>
                <w:rFonts w:hint="eastAsia" w:ascii="华文中宋" w:hAnsi="华文中宋" w:eastAsia="华文中宋" w:cs="华文中宋"/>
                <w:color w:val="auto"/>
                <w:kern w:val="0"/>
                <w:szCs w:val="21"/>
                <w:lang w:val="en-US" w:eastAsia="zh-CN"/>
              </w:rPr>
              <w:t>两</w:t>
            </w:r>
            <w:r>
              <w:rPr>
                <w:rFonts w:hint="eastAsia" w:ascii="华文中宋" w:hAnsi="华文中宋" w:eastAsia="华文中宋" w:cs="华文中宋"/>
                <w:color w:val="auto"/>
                <w:kern w:val="0"/>
                <w:szCs w:val="21"/>
              </w:rPr>
              <w:t>个模块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lang w:val="en-US" w:eastAsia="zh-CN"/>
              </w:rPr>
              <w:t>专业培养模块的数理基础课；</w:t>
            </w:r>
            <w:r>
              <w:rPr>
                <w:rFonts w:hint="eastAsia" w:ascii="华文中宋" w:hAnsi="华文中宋" w:eastAsia="华文中宋" w:cs="华文中宋"/>
                <w:color w:val="auto"/>
                <w:kern w:val="0"/>
                <w:szCs w:val="21"/>
              </w:rPr>
              <w:t>以及个性化培养课程中的部分课程。</w:t>
            </w:r>
          </w:p>
        </w:tc>
      </w:tr>
      <w:tr w14:paraId="34E4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17A58AE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4</w:t>
            </w:r>
          </w:p>
        </w:tc>
        <w:tc>
          <w:tcPr>
            <w:tcW w:w="1186" w:type="pct"/>
            <w:vAlign w:val="center"/>
          </w:tcPr>
          <w:p w14:paraId="44CF8FBF">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w:t>
            </w:r>
          </w:p>
        </w:tc>
        <w:tc>
          <w:tcPr>
            <w:tcW w:w="1779" w:type="pct"/>
            <w:vAlign w:val="center"/>
          </w:tcPr>
          <w:p w14:paraId="69CA709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和通识课程学分应占总学分的40%左右。思想政治理论课程至少开设以下课程：马克思主义基本原理、毛泽东思想和中国特色社会主义理论体系概论、形式与政策、思想道德修养与法律基础、中国近现代史纲要。</w:t>
            </w:r>
          </w:p>
        </w:tc>
        <w:tc>
          <w:tcPr>
            <w:tcW w:w="2743" w:type="dxa"/>
            <w:vAlign w:val="center"/>
          </w:tcPr>
          <w:p w14:paraId="164D773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思想政治理论课程和通识课程的学分设置符合</w:t>
            </w:r>
            <w:r>
              <w:rPr>
                <w:rFonts w:hint="eastAsia" w:ascii="华文中宋" w:hAnsi="华文中宋" w:eastAsia="华文中宋" w:cs="华文中宋"/>
                <w:color w:val="auto"/>
                <w:kern w:val="0"/>
                <w:szCs w:val="21"/>
                <w:lang w:val="en-US" w:eastAsia="zh-CN"/>
              </w:rPr>
              <w:t>本</w:t>
            </w:r>
            <w:r>
              <w:rPr>
                <w:rFonts w:hint="eastAsia" w:ascii="华文中宋" w:hAnsi="华文中宋" w:eastAsia="华文中宋" w:cs="华文中宋"/>
                <w:color w:val="auto"/>
                <w:kern w:val="0"/>
                <w:szCs w:val="21"/>
              </w:rPr>
              <w:t>专业教育国家质量标准的要求。开设的思想政治课程包括：中国近现代史纲要、马克思主义基本原理、毛泽东思想和中国特色社会主义理论体系概论、习近平新时代中国特色社会主义思想概论、中国近现代史纲要、思想道德与法治及形势与政策</w:t>
            </w:r>
            <w:r>
              <w:rPr>
                <w:rFonts w:hint="eastAsia" w:ascii="华文中宋" w:hAnsi="华文中宋" w:eastAsia="华文中宋" w:cs="华文中宋"/>
                <w:color w:val="auto"/>
                <w:kern w:val="0"/>
                <w:szCs w:val="21"/>
                <w:lang w:eastAsia="zh-CN"/>
              </w:rPr>
              <w:t>、国家安全教育</w:t>
            </w:r>
            <w:r>
              <w:rPr>
                <w:rFonts w:hint="eastAsia" w:ascii="华文中宋" w:hAnsi="华文中宋" w:eastAsia="华文中宋" w:cs="华文中宋"/>
                <w:color w:val="auto"/>
                <w:kern w:val="0"/>
                <w:szCs w:val="21"/>
              </w:rPr>
              <w:t>等。</w:t>
            </w:r>
          </w:p>
        </w:tc>
      </w:tr>
      <w:tr w14:paraId="677E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36C6D47F">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5</w:t>
            </w:r>
          </w:p>
        </w:tc>
        <w:tc>
          <w:tcPr>
            <w:tcW w:w="1186" w:type="pct"/>
            <w:vAlign w:val="center"/>
          </w:tcPr>
          <w:p w14:paraId="04D2CB7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w:t>
            </w:r>
          </w:p>
        </w:tc>
        <w:tc>
          <w:tcPr>
            <w:tcW w:w="1779" w:type="pct"/>
            <w:vAlign w:val="center"/>
          </w:tcPr>
          <w:p w14:paraId="25D3E74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通识课程包括数学、外语、计算机及信息技术应用、体育等必修课程，以及根据学校特色和条件设置的人文艺术、社会科学和自然科学类选修课程。社会科学类选修课程应包括政治学、社会学、法学相关课程。</w:t>
            </w:r>
          </w:p>
        </w:tc>
        <w:tc>
          <w:tcPr>
            <w:tcW w:w="2743" w:type="dxa"/>
            <w:vAlign w:val="center"/>
          </w:tcPr>
          <w:p w14:paraId="4D5C42D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本专业开设了通识教育核心课程、专项教育课程</w:t>
            </w:r>
            <w:r>
              <w:rPr>
                <w:rFonts w:hint="eastAsia" w:ascii="华文中宋" w:hAnsi="华文中宋" w:eastAsia="华文中宋" w:cs="华文中宋"/>
                <w:color w:val="auto"/>
                <w:kern w:val="0"/>
                <w:szCs w:val="21"/>
                <w:lang w:val="en-US" w:eastAsia="zh-CN"/>
              </w:rPr>
              <w:t>两大模块课程。</w:t>
            </w:r>
            <w:r>
              <w:rPr>
                <w:rFonts w:hint="eastAsia" w:ascii="华文中宋" w:hAnsi="华文中宋" w:eastAsia="华文中宋" w:cs="华文中宋"/>
                <w:color w:val="auto"/>
                <w:kern w:val="0"/>
                <w:szCs w:val="21"/>
              </w:rPr>
              <w:t>其中，通识教育核心课程包括思想政治理论课程模块</w:t>
            </w:r>
            <w:r>
              <w:rPr>
                <w:rFonts w:hint="eastAsia" w:ascii="华文中宋" w:hAnsi="华文中宋" w:eastAsia="华文中宋" w:cs="华文中宋"/>
                <w:color w:val="auto"/>
                <w:kern w:val="0"/>
                <w:szCs w:val="21"/>
                <w:lang w:val="en-US" w:eastAsia="zh-CN"/>
              </w:rPr>
              <w:t>和通识限选课程两个</w:t>
            </w:r>
            <w:r>
              <w:rPr>
                <w:rFonts w:hint="eastAsia" w:ascii="华文中宋" w:hAnsi="华文中宋" w:eastAsia="华文中宋" w:cs="华文中宋"/>
                <w:color w:val="auto"/>
                <w:kern w:val="0"/>
                <w:szCs w:val="21"/>
              </w:rPr>
              <w:t>部分；专项教育课程包括外语课程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七个部分。</w:t>
            </w:r>
          </w:p>
        </w:tc>
      </w:tr>
      <w:tr w14:paraId="722C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6CDFD52C">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6</w:t>
            </w:r>
          </w:p>
        </w:tc>
        <w:tc>
          <w:tcPr>
            <w:tcW w:w="1186" w:type="pct"/>
            <w:vAlign w:val="center"/>
          </w:tcPr>
          <w:p w14:paraId="6201F09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学科基础</w:t>
            </w:r>
          </w:p>
        </w:tc>
        <w:tc>
          <w:tcPr>
            <w:tcW w:w="1779" w:type="pct"/>
            <w:vAlign w:val="center"/>
          </w:tcPr>
          <w:p w14:paraId="7F76E6FA">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学科基础课程应包括数学分析、高等代数、概率论等相关课程。数据科学应用领域可在宏观经济学、微观经济学、会计学、管理学、金融学、市场营销学等课程中开2-3门。</w:t>
            </w:r>
          </w:p>
        </w:tc>
        <w:tc>
          <w:tcPr>
            <w:tcW w:w="1609" w:type="pct"/>
            <w:vAlign w:val="center"/>
          </w:tcPr>
          <w:p w14:paraId="0F88122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数学分析、高等代数、概率论、管理学、财务会计、公司金融等。</w:t>
            </w:r>
          </w:p>
        </w:tc>
      </w:tr>
      <w:tr w14:paraId="52E8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32F80F3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7</w:t>
            </w:r>
          </w:p>
        </w:tc>
        <w:tc>
          <w:tcPr>
            <w:tcW w:w="1186" w:type="pct"/>
            <w:vAlign w:val="center"/>
          </w:tcPr>
          <w:p w14:paraId="716BAC2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专业必修</w:t>
            </w:r>
          </w:p>
        </w:tc>
        <w:tc>
          <w:tcPr>
            <w:tcW w:w="1779" w:type="pct"/>
            <w:vAlign w:val="center"/>
          </w:tcPr>
          <w:p w14:paraId="4AB76C5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专业必修课程有数理统计、线性模型、</w:t>
            </w:r>
            <w:r>
              <w:rPr>
                <w:rFonts w:hint="eastAsia" w:ascii="华文中宋" w:hAnsi="华文中宋" w:eastAsia="华文中宋" w:cs="华文中宋"/>
                <w:color w:val="auto"/>
                <w:kern w:val="0"/>
                <w:szCs w:val="21"/>
                <w:lang w:val="en-US" w:eastAsia="zh-CN"/>
              </w:rPr>
              <w:t>多元统计分析、</w:t>
            </w:r>
            <w:r>
              <w:rPr>
                <w:rFonts w:hint="eastAsia" w:ascii="华文中宋" w:hAnsi="华文中宋" w:eastAsia="华文中宋" w:cs="华文中宋"/>
                <w:color w:val="auto"/>
                <w:kern w:val="0"/>
                <w:szCs w:val="21"/>
              </w:rPr>
              <w:t>计算统计与分布式计算等。</w:t>
            </w:r>
          </w:p>
        </w:tc>
        <w:tc>
          <w:tcPr>
            <w:tcW w:w="1609" w:type="pct"/>
            <w:vAlign w:val="center"/>
          </w:tcPr>
          <w:p w14:paraId="440DE4A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数据库</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数值计算与模拟</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机器学习</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数据科学导论</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分布式计算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优化理论与方法</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数据分析与可视化</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深度学习</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文本挖掘技术</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线性模型</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数据结构等。</w:t>
            </w:r>
          </w:p>
        </w:tc>
      </w:tr>
      <w:tr w14:paraId="3660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4" w:type="pct"/>
            <w:vAlign w:val="center"/>
          </w:tcPr>
          <w:p w14:paraId="4254A96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8</w:t>
            </w:r>
          </w:p>
        </w:tc>
        <w:tc>
          <w:tcPr>
            <w:tcW w:w="1186" w:type="pct"/>
            <w:vAlign w:val="center"/>
          </w:tcPr>
          <w:p w14:paraId="44F453A0">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w:t>
            </w:r>
          </w:p>
        </w:tc>
        <w:tc>
          <w:tcPr>
            <w:tcW w:w="1779" w:type="pct"/>
            <w:vAlign w:val="center"/>
          </w:tcPr>
          <w:p w14:paraId="6C38EE39">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课应当与专业必修课形成逻辑上的拓展与延续关系，并形成课程模块（课程组）供学生选择性修读。各专业可以自主设置专业选修课程体系。鼓励有条件的高校开设双语或全英文专业课程、应用数据分析类课程。</w:t>
            </w:r>
          </w:p>
        </w:tc>
        <w:tc>
          <w:tcPr>
            <w:tcW w:w="1609" w:type="pct"/>
            <w:vAlign w:val="center"/>
          </w:tcPr>
          <w:p w14:paraId="1D97927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本专业选修围绕数据科学开展选修课程设置，包括贝叶斯决策、属性数据分析、非参数统计、抽样技术、数量金融、随机过程</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因果推断</w:t>
            </w:r>
          </w:p>
          <w:p w14:paraId="79D0E448">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人工智能与认知科学</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计算机视觉</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高维数据统计推断</w:t>
            </w:r>
          </w:p>
          <w:p w14:paraId="21B90FD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征信与大数据风控等。</w:t>
            </w:r>
          </w:p>
        </w:tc>
      </w:tr>
    </w:tbl>
    <w:p w14:paraId="0B914993">
      <w:pPr>
        <w:pageBreakBefore w:val="0"/>
        <w:widowControl/>
        <w:kinsoku/>
        <w:wordWrap/>
        <w:overflowPunct/>
        <w:topLinePunct w:val="0"/>
        <w:autoSpaceDE/>
        <w:autoSpaceDN/>
        <w:bidi w:val="0"/>
        <w:adjustRightInd/>
        <w:snapToGrid/>
        <w:jc w:val="left"/>
        <w:outlineLvl w:val="9"/>
        <w:rPr>
          <w:rFonts w:ascii="宋体" w:hAnsi="宋体" w:eastAsia="宋体"/>
          <w:color w:val="auto"/>
          <w:szCs w:val="21"/>
        </w:rPr>
      </w:pPr>
    </w:p>
    <w:p w14:paraId="1D634195">
      <w:pPr>
        <w:pStyle w:val="20"/>
        <w:pageBreakBefore w:val="0"/>
        <w:widowControl/>
        <w:kinsoku/>
        <w:wordWrap/>
        <w:overflowPunct/>
        <w:topLinePunct w:val="0"/>
        <w:autoSpaceDE/>
        <w:autoSpaceDN/>
        <w:bidi w:val="0"/>
        <w:adjustRightInd/>
        <w:snapToGrid/>
        <w:ind w:left="360" w:firstLine="0" w:firstLineChars="0"/>
        <w:jc w:val="left"/>
        <w:outlineLvl w:val="9"/>
        <w:rPr>
          <w:rFonts w:ascii="宋体" w:hAnsi="宋体" w:eastAsia="宋体"/>
          <w:i/>
          <w:color w:val="auto"/>
          <w:szCs w:val="21"/>
        </w:rPr>
      </w:pPr>
      <w:r>
        <w:rPr>
          <w:rFonts w:hint="eastAsia" w:asciiTheme="minorHAnsi" w:hAnsiTheme="minorHAnsi" w:eastAsiaTheme="minorEastAsia" w:cstheme="minorBidi"/>
          <w:b/>
          <w:bCs/>
          <w:color w:val="auto"/>
          <w:szCs w:val="21"/>
        </w:rPr>
        <w:t>III</w:t>
      </w:r>
      <w:r>
        <w:rPr>
          <w:rFonts w:asciiTheme="minorHAnsi" w:hAnsiTheme="minorHAnsi" w:eastAsiaTheme="minorEastAsia" w:cstheme="minorBidi"/>
          <w:b/>
          <w:bCs/>
          <w:color w:val="auto"/>
          <w:szCs w:val="21"/>
        </w:rPr>
        <w:t>、</w:t>
      </w:r>
      <w:r>
        <w:rPr>
          <w:rFonts w:hint="eastAsia" w:asciiTheme="minorHAnsi" w:hAnsiTheme="minorHAnsi" w:eastAsiaTheme="minorEastAsia" w:cstheme="minorBidi"/>
          <w:b/>
          <w:bCs/>
          <w:color w:val="auto"/>
          <w:szCs w:val="21"/>
        </w:rPr>
        <w:t>课程关系图或课程先修关系表。</w:t>
      </w:r>
    </w:p>
    <w:p w14:paraId="03D7A01D">
      <w:pPr>
        <w:pStyle w:val="20"/>
        <w:pageBreakBefore w:val="0"/>
        <w:widowControl/>
        <w:kinsoku/>
        <w:wordWrap/>
        <w:overflowPunct/>
        <w:topLinePunct w:val="0"/>
        <w:autoSpaceDE/>
        <w:autoSpaceDN/>
        <w:bidi w:val="0"/>
        <w:adjustRightInd/>
        <w:snapToGrid/>
        <w:ind w:left="0" w:leftChars="0" w:firstLine="0" w:firstLineChars="0"/>
        <w:jc w:val="left"/>
        <w:outlineLvl w:val="9"/>
        <w:rPr>
          <w:rFonts w:ascii="宋体" w:hAnsi="宋体" w:eastAsia="宋体" w:cs="宋体"/>
          <w:color w:val="auto"/>
          <w:sz w:val="24"/>
        </w:rPr>
      </w:pPr>
      <w:r>
        <w:rPr>
          <w:rFonts w:ascii="宋体" w:hAnsi="宋体" w:eastAsia="宋体" w:cs="宋体"/>
          <w:sz w:val="24"/>
          <w:szCs w:val="24"/>
        </w:rPr>
        <w:drawing>
          <wp:inline distT="0" distB="0" distL="114300" distR="114300">
            <wp:extent cx="4425315" cy="3274060"/>
            <wp:effectExtent l="0" t="0" r="9525"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4425315" cy="3274060"/>
                    </a:xfrm>
                    <a:prstGeom prst="rect">
                      <a:avLst/>
                    </a:prstGeom>
                    <a:noFill/>
                    <a:ln w="9525">
                      <a:noFill/>
                    </a:ln>
                  </pic:spPr>
                </pic:pic>
              </a:graphicData>
            </a:graphic>
          </wp:inline>
        </w:drawing>
      </w:r>
    </w:p>
    <w:p w14:paraId="022627BE">
      <w:pPr>
        <w:pStyle w:val="20"/>
        <w:pageBreakBefore w:val="0"/>
        <w:widowControl/>
        <w:kinsoku/>
        <w:wordWrap/>
        <w:overflowPunct/>
        <w:topLinePunct w:val="0"/>
        <w:autoSpaceDE/>
        <w:autoSpaceDN/>
        <w:bidi w:val="0"/>
        <w:adjustRightInd/>
        <w:snapToGrid/>
        <w:ind w:left="360" w:firstLine="0" w:firstLineChars="0"/>
        <w:jc w:val="left"/>
        <w:outlineLvl w:val="9"/>
        <w:rPr>
          <w:rFonts w:ascii="宋体" w:hAnsi="宋体" w:eastAsia="宋体" w:cs="宋体"/>
          <w:color w:val="auto"/>
          <w:sz w:val="24"/>
        </w:rPr>
      </w:pPr>
    </w:p>
    <w:p w14:paraId="0CCF6823">
      <w:pPr>
        <w:pStyle w:val="20"/>
        <w:pageBreakBefore w:val="0"/>
        <w:widowControl/>
        <w:kinsoku/>
        <w:wordWrap/>
        <w:overflowPunct/>
        <w:topLinePunct w:val="0"/>
        <w:autoSpaceDE/>
        <w:autoSpaceDN/>
        <w:bidi w:val="0"/>
        <w:adjustRightInd/>
        <w:snapToGrid/>
        <w:ind w:left="0" w:leftChars="0" w:firstLine="0" w:firstLineChars="0"/>
        <w:jc w:val="both"/>
        <w:outlineLvl w:val="9"/>
        <w:rPr>
          <w:rFonts w:ascii="宋体" w:hAnsi="宋体" w:eastAsia="宋体" w:cs="宋体"/>
          <w:color w:val="auto"/>
          <w:sz w:val="24"/>
        </w:rPr>
      </w:pPr>
      <w:r>
        <w:rPr>
          <w:rFonts w:ascii="宋体" w:hAnsi="宋体" w:eastAsia="宋体" w:cs="宋体"/>
          <w:sz w:val="24"/>
          <w:szCs w:val="24"/>
        </w:rPr>
        <w:drawing>
          <wp:inline distT="0" distB="0" distL="114300" distR="114300">
            <wp:extent cx="4404995" cy="4315460"/>
            <wp:effectExtent l="0" t="0" r="14605" b="12700"/>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7"/>
                    <a:stretch>
                      <a:fillRect/>
                    </a:stretch>
                  </pic:blipFill>
                  <pic:spPr>
                    <a:xfrm>
                      <a:off x="0" y="0"/>
                      <a:ext cx="4404995" cy="4315460"/>
                    </a:xfrm>
                    <a:prstGeom prst="rect">
                      <a:avLst/>
                    </a:prstGeom>
                    <a:noFill/>
                    <a:ln w="9525">
                      <a:noFill/>
                    </a:ln>
                  </pic:spPr>
                </pic:pic>
              </a:graphicData>
            </a:graphic>
          </wp:inline>
        </w:drawing>
      </w:r>
    </w:p>
    <w:p w14:paraId="21F23153">
      <w:pPr>
        <w:pStyle w:val="20"/>
        <w:pageBreakBefore w:val="0"/>
        <w:widowControl/>
        <w:kinsoku/>
        <w:wordWrap/>
        <w:overflowPunct/>
        <w:topLinePunct w:val="0"/>
        <w:autoSpaceDE/>
        <w:autoSpaceDN/>
        <w:bidi w:val="0"/>
        <w:adjustRightInd/>
        <w:snapToGrid/>
        <w:ind w:left="0" w:leftChars="0" w:firstLine="0" w:firstLineChars="0"/>
        <w:jc w:val="left"/>
        <w:outlineLvl w:val="9"/>
        <w:rPr>
          <w:rFonts w:ascii="宋体" w:hAnsi="宋体" w:eastAsia="宋体"/>
          <w:i/>
          <w:color w:val="auto"/>
          <w:szCs w:val="21"/>
        </w:rPr>
      </w:pPr>
    </w:p>
    <w:p w14:paraId="635AFBF1">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毕业</w:t>
      </w:r>
      <w:r>
        <w:rPr>
          <w:rFonts w:ascii="宋体" w:hAnsi="宋体" w:eastAsia="宋体"/>
          <w:color w:val="auto"/>
          <w:sz w:val="21"/>
          <w:szCs w:val="21"/>
        </w:rPr>
        <w:t>论文（</w:t>
      </w:r>
      <w:r>
        <w:rPr>
          <w:rFonts w:hint="eastAsia" w:ascii="宋体" w:hAnsi="宋体" w:eastAsia="宋体"/>
          <w:color w:val="auto"/>
          <w:sz w:val="21"/>
          <w:szCs w:val="21"/>
        </w:rPr>
        <w:t>设计</w:t>
      </w:r>
      <w:r>
        <w:rPr>
          <w:rFonts w:ascii="宋体" w:hAnsi="宋体" w:eastAsia="宋体"/>
          <w:color w:val="auto"/>
          <w:sz w:val="21"/>
          <w:szCs w:val="21"/>
        </w:rPr>
        <w:t>）</w:t>
      </w:r>
    </w:p>
    <w:p w14:paraId="3489CDC6">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毕业论文是</w:t>
      </w:r>
      <w:r>
        <w:rPr>
          <w:rFonts w:hint="eastAsia" w:ascii="华文中宋" w:hAnsi="华文中宋" w:eastAsia="华文中宋" w:cs="华文中宋"/>
          <w:color w:val="auto"/>
          <w:kern w:val="0"/>
          <w:szCs w:val="21"/>
          <w:lang w:val="en-US" w:eastAsia="zh-CN"/>
        </w:rPr>
        <w:t>数据科学</w:t>
      </w:r>
      <w:r>
        <w:rPr>
          <w:rFonts w:hint="eastAsia" w:ascii="华文中宋" w:hAnsi="华文中宋" w:eastAsia="华文中宋" w:cs="华文中宋"/>
          <w:color w:val="auto"/>
          <w:kern w:val="0"/>
          <w:szCs w:val="21"/>
        </w:rPr>
        <w:t>本科学生在掌握本门学科的基础理论、专门知识和基本技能的基础上，进行科学研究工作的训练，培养独立工作能力，全面提高教学质量的重要环节。第八学期学生必须在老师指导下独立完成毕业论文的写作。具体要求见《上海财经大学本科学生毕业论文（设计）工作的规定》</w:t>
      </w:r>
    </w:p>
    <w:p w14:paraId="25A8055D">
      <w:pPr>
        <w:pageBreakBefore w:val="0"/>
        <w:widowControl/>
        <w:kinsoku/>
        <w:wordWrap/>
        <w:overflowPunct/>
        <w:topLinePunct w:val="0"/>
        <w:autoSpaceDE/>
        <w:autoSpaceDN/>
        <w:bidi w:val="0"/>
        <w:adjustRightInd/>
        <w:snapToGrid/>
        <w:jc w:val="left"/>
        <w:outlineLvl w:val="9"/>
        <w:rPr>
          <w:rFonts w:asciiTheme="minorEastAsia" w:hAnsiTheme="minorEastAsia"/>
          <w:i/>
          <w:color w:val="auto"/>
          <w:szCs w:val="21"/>
        </w:rPr>
      </w:pPr>
    </w:p>
    <w:p w14:paraId="39E291DC">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成绩考核</w:t>
      </w:r>
    </w:p>
    <w:p w14:paraId="2C19AF4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为巩固学生所学知识，检查教学效果，保证教学质量，严格执行考核制度。考核合格，给予相应的成绩。各门课程分别记载学分、成绩与绩点。具体规定详见《上海财经大学本科学生学籍管理实施细则》和《上海财经大学</w:t>
      </w:r>
      <w:r>
        <w:rPr>
          <w:rFonts w:hint="eastAsia" w:ascii="华文中宋" w:hAnsi="华文中宋" w:eastAsia="华文中宋" w:cs="华文中宋"/>
          <w:color w:val="auto"/>
          <w:kern w:val="0"/>
          <w:szCs w:val="21"/>
          <w:lang w:val="en-US" w:eastAsia="zh-CN"/>
        </w:rPr>
        <w:t>本科</w:t>
      </w:r>
      <w:r>
        <w:rPr>
          <w:rFonts w:hint="eastAsia" w:ascii="华文中宋" w:hAnsi="华文中宋" w:eastAsia="华文中宋" w:cs="华文中宋"/>
          <w:color w:val="auto"/>
          <w:kern w:val="0"/>
          <w:szCs w:val="21"/>
        </w:rPr>
        <w:t>学生课程考核管理办法》。</w:t>
      </w:r>
    </w:p>
    <w:p w14:paraId="70669900">
      <w:pPr>
        <w:pageBreakBefore w:val="0"/>
        <w:widowControl/>
        <w:kinsoku/>
        <w:wordWrap/>
        <w:overflowPunct/>
        <w:topLinePunct w:val="0"/>
        <w:autoSpaceDE/>
        <w:autoSpaceDN/>
        <w:bidi w:val="0"/>
        <w:adjustRightInd/>
        <w:snapToGrid/>
        <w:jc w:val="left"/>
        <w:outlineLvl w:val="9"/>
        <w:rPr>
          <w:rFonts w:asciiTheme="minorEastAsia" w:hAnsiTheme="minorEastAsia"/>
          <w:i/>
          <w:color w:val="auto"/>
          <w:szCs w:val="21"/>
          <w:lang w:val="zh-CN"/>
        </w:rPr>
      </w:pPr>
    </w:p>
    <w:p w14:paraId="2B087D27">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科学研究</w:t>
      </w:r>
    </w:p>
    <w:p w14:paraId="05400F8B">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为使学生逐步掌握科学研究的基本方法，提高学生的科学研究能力，培养和提高学生认识问题、分析问题和解决问题的能力，引导和组织学生参加学术探讨和科学研究，积极鼓励学生参与社会和经济领域的学术活动，提倡学生结合课程教学、社会实践等开展科研活动。对科研成绩优秀的学生，将在优秀学生、奖学金等的评定中给予优先考虑，对成绩显著者，将另行给予奖励。</w:t>
      </w:r>
    </w:p>
    <w:p w14:paraId="05A10876">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同时，本专业方向注重加强实验室、实习实训基地、实践教学共享平台建设，积极构建多层次实践课程体系。让学生通过参加社会实践活动、团学联与社团活动、学术报告与讲座、创新创业训练项目等第二活动，增强对专业理论知识的理解和应用。同时该专业学生还要参加8周的社会实习（其中不少于4周在上海财经大学数据科学与研究院“数据诊所”中参加数据分析咨询服务）来进一步提升社会实践能力，在此基础之上学生可总结在校期间的学习成果，综合性地、创造性地运用所学知识和技能撰写毕业论文。</w:t>
      </w:r>
    </w:p>
    <w:p w14:paraId="278FB1B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为提高学生的实际操作能力和工作能力，培养学生的综合素质，本专业方向的学生需修满</w:t>
      </w:r>
      <w:r>
        <w:rPr>
          <w:rFonts w:ascii="华文中宋" w:hAnsi="华文中宋" w:eastAsia="华文中宋" w:cs="华文中宋"/>
          <w:color w:val="auto"/>
          <w:kern w:val="0"/>
          <w:szCs w:val="21"/>
        </w:rPr>
        <w:t>146</w:t>
      </w:r>
      <w:r>
        <w:rPr>
          <w:rFonts w:hint="eastAsia" w:ascii="华文中宋" w:hAnsi="华文中宋" w:eastAsia="华文中宋" w:cs="华文中宋"/>
          <w:color w:val="auto"/>
          <w:kern w:val="0"/>
          <w:szCs w:val="21"/>
        </w:rPr>
        <w:t>学分后方可毕业。其中课堂教学环节</w:t>
      </w:r>
      <w:r>
        <w:rPr>
          <w:rFonts w:hint="eastAsia" w:ascii="华文中宋" w:hAnsi="华文中宋" w:eastAsia="华文中宋" w:cs="华文中宋"/>
          <w:color w:val="auto"/>
          <w:kern w:val="0"/>
          <w:szCs w:val="21"/>
          <w:lang w:val="en-US" w:eastAsia="zh-CN"/>
        </w:rPr>
        <w:t>124</w:t>
      </w:r>
      <w:r>
        <w:rPr>
          <w:rFonts w:hint="eastAsia" w:ascii="华文中宋" w:hAnsi="华文中宋" w:eastAsia="华文中宋" w:cs="华文中宋"/>
          <w:color w:val="auto"/>
          <w:kern w:val="0"/>
          <w:szCs w:val="21"/>
        </w:rPr>
        <w:t>学分，本专业学生在校期间需完成</w:t>
      </w:r>
      <w:r>
        <w:rPr>
          <w:rFonts w:hint="eastAsia" w:ascii="华文中宋" w:hAnsi="华文中宋" w:eastAsia="华文中宋" w:cs="华文中宋"/>
          <w:color w:val="auto"/>
          <w:kern w:val="0"/>
          <w:szCs w:val="21"/>
          <w:lang w:val="en-US" w:eastAsia="zh-CN"/>
        </w:rPr>
        <w:t>14</w:t>
      </w:r>
      <w:r>
        <w:rPr>
          <w:rFonts w:hint="eastAsia" w:ascii="华文中宋" w:hAnsi="华文中宋" w:eastAsia="华文中宋" w:cs="华文中宋"/>
          <w:color w:val="auto"/>
          <w:kern w:val="0"/>
          <w:szCs w:val="21"/>
        </w:rPr>
        <w:t>个学分的第二课堂学习，内容包括军训、体育锻炼和实践教育；鼓励学生结合所学专业知识，自主开展各类实习、社会实践和社会调查活动，毕业实习环节需完成4个学分。第二课堂、毕业实习与毕业论文环节合计占到总学分的15.</w:t>
      </w:r>
      <w:r>
        <w:rPr>
          <w:rFonts w:hint="eastAsia" w:ascii="华文中宋" w:hAnsi="华文中宋" w:eastAsia="华文中宋" w:cs="华文中宋"/>
          <w:color w:val="auto"/>
          <w:kern w:val="0"/>
          <w:szCs w:val="21"/>
          <w:lang w:val="en-US" w:eastAsia="zh-CN"/>
        </w:rPr>
        <w:t>07</w:t>
      </w:r>
      <w:r>
        <w:rPr>
          <w:rFonts w:hint="eastAsia" w:ascii="华文中宋" w:hAnsi="华文中宋" w:eastAsia="华文中宋" w:cs="华文中宋"/>
          <w:color w:val="auto"/>
          <w:kern w:val="0"/>
          <w:szCs w:val="21"/>
        </w:rPr>
        <w:t>%。</w:t>
      </w:r>
    </w:p>
    <w:p w14:paraId="40CCE3B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实践课程将作为统计学专业学生培养的重要组成部分，充分利用各种资源为该专业学生提供实践机会，使得学生能够尽量做到学以致用。该部分的学分约为18学分，占总学分的12%。</w:t>
      </w:r>
    </w:p>
    <w:p w14:paraId="0F480EF7">
      <w:pPr>
        <w:pageBreakBefore w:val="0"/>
        <w:widowControl/>
        <w:kinsoku/>
        <w:wordWrap/>
        <w:overflowPunct/>
        <w:topLinePunct w:val="0"/>
        <w:autoSpaceDE/>
        <w:autoSpaceDN/>
        <w:bidi w:val="0"/>
        <w:adjustRightInd/>
        <w:snapToGrid/>
        <w:jc w:val="left"/>
        <w:outlineLvl w:val="9"/>
        <w:rPr>
          <w:rFonts w:asciiTheme="minorEastAsia" w:hAnsiTheme="minorEastAsia"/>
          <w:i/>
          <w:color w:val="auto"/>
          <w:szCs w:val="21"/>
        </w:rPr>
      </w:pPr>
    </w:p>
    <w:p w14:paraId="5A72D167">
      <w:pPr>
        <w:pageBreakBefore w:val="0"/>
        <w:widowControl/>
        <w:kinsoku/>
        <w:wordWrap/>
        <w:overflowPunct/>
        <w:topLinePunct w:val="0"/>
        <w:autoSpaceDE/>
        <w:autoSpaceDN/>
        <w:bidi w:val="0"/>
        <w:adjustRightInd/>
        <w:snapToGrid/>
        <w:jc w:val="left"/>
        <w:outlineLvl w:val="9"/>
        <w:rPr>
          <w:rFonts w:asciiTheme="minorEastAsia" w:hAnsiTheme="minorEastAsia"/>
          <w:i/>
          <w:color w:val="auto"/>
          <w:szCs w:val="21"/>
        </w:rPr>
      </w:pPr>
    </w:p>
    <w:p w14:paraId="01D834B0">
      <w:pPr>
        <w:pageBreakBefore w:val="0"/>
        <w:numPr>
          <w:ilvl w:val="0"/>
          <w:numId w:val="1"/>
        </w:numPr>
        <w:kinsoku/>
        <w:wordWrap/>
        <w:overflowPunct/>
        <w:topLinePunct w:val="0"/>
        <w:autoSpaceDE/>
        <w:autoSpaceDN/>
        <w:bidi w:val="0"/>
        <w:adjustRightInd/>
        <w:snapToGrid/>
        <w:spacing w:before="0" w:after="0"/>
        <w:jc w:val="left"/>
        <w:outlineLvl w:val="9"/>
        <w:rPr>
          <w:rFonts w:ascii="宋体" w:hAnsi="宋体" w:eastAsia="宋体"/>
          <w:color w:val="auto"/>
          <w:sz w:val="21"/>
          <w:szCs w:val="21"/>
        </w:rPr>
      </w:pPr>
      <w:r>
        <w:rPr>
          <w:rFonts w:hint="eastAsia" w:ascii="宋体" w:hAnsi="宋体" w:eastAsia="宋体"/>
          <w:color w:val="auto"/>
          <w:sz w:val="21"/>
          <w:szCs w:val="21"/>
        </w:rPr>
        <w:t>学制与学位</w:t>
      </w:r>
    </w:p>
    <w:p w14:paraId="221D30FF">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教育实行四学年的基本学制，并实行弹性学制。凡按教学计划和有关规定，提前学完全部课程，取得相应的学分，符合毕业条件者，允许提前毕业，或辅修另一专业的主干课程。学生在符合有关规定的条件下，可延长在校学习期限，但最长不得超过两年延长期。具体规定详见《上海财经大学本科学生学籍管理实施细则》、《上海财经大学本科辅修专业、辅修学位教育试行办法》等。</w:t>
      </w:r>
    </w:p>
    <w:p w14:paraId="54ED5DA2">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本专业学生在规定的时间内完成培养方案规定的全部课程和学习任务，获得相应的学分，并符合各项要求者，准予毕业并发给毕业证书</w:t>
      </w:r>
      <w:r>
        <w:rPr>
          <w:rFonts w:hint="eastAsia" w:ascii="华文中宋" w:hAnsi="华文中宋" w:eastAsia="华文中宋" w:cs="华文中宋"/>
          <w:color w:val="auto"/>
          <w:kern w:val="0"/>
          <w:szCs w:val="21"/>
          <w:highlight w:val="none"/>
        </w:rPr>
        <w:t>。毕业生符合《中华人民共和国学位</w:t>
      </w:r>
      <w:r>
        <w:rPr>
          <w:rFonts w:hint="eastAsia" w:ascii="华文中宋" w:hAnsi="华文中宋" w:eastAsia="华文中宋" w:cs="华文中宋"/>
          <w:color w:val="auto"/>
          <w:kern w:val="0"/>
          <w:szCs w:val="21"/>
          <w:highlight w:val="none"/>
          <w:lang w:val="en-US" w:eastAsia="zh-CN"/>
        </w:rPr>
        <w:t>法</w:t>
      </w:r>
      <w:r>
        <w:rPr>
          <w:rFonts w:hint="eastAsia" w:ascii="华文中宋" w:hAnsi="华文中宋" w:eastAsia="华文中宋" w:cs="华文中宋"/>
          <w:color w:val="auto"/>
          <w:kern w:val="0"/>
          <w:szCs w:val="21"/>
          <w:highlight w:val="none"/>
        </w:rPr>
        <w:t>》、和学校的有关规定者，经学校学位委员会审查通过，</w:t>
      </w:r>
      <w:r>
        <w:rPr>
          <w:rFonts w:hint="eastAsia" w:ascii="华文中宋" w:hAnsi="华文中宋" w:eastAsia="华文中宋" w:cs="华文中宋"/>
          <w:color w:val="auto"/>
          <w:kern w:val="0"/>
          <w:szCs w:val="21"/>
        </w:rPr>
        <w:t>授予理学学士学位。</w:t>
      </w:r>
    </w:p>
    <w:p w14:paraId="0CB44CB0">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sectPr>
          <w:footerReference r:id="rId3" w:type="default"/>
          <w:pgSz w:w="11906" w:h="16838"/>
          <w:pgMar w:top="1440" w:right="1800" w:bottom="1440" w:left="1800" w:header="851" w:footer="992" w:gutter="0"/>
          <w:cols w:space="425" w:num="1"/>
          <w:docGrid w:type="lines" w:linePitch="312" w:charSpace="0"/>
        </w:sectPr>
      </w:pPr>
    </w:p>
    <w:p w14:paraId="20978233">
      <w:pPr>
        <w:pStyle w:val="3"/>
        <w:bidi w:val="0"/>
      </w:pPr>
      <w:r>
        <w:rPr>
          <w:rFonts w:hint="eastAsia"/>
        </w:rPr>
        <w:t>统计与数据科学学院数据科学专业2025级本科生修读建议</w:t>
      </w:r>
    </w:p>
    <w:tbl>
      <w:tblPr>
        <w:tblStyle w:val="17"/>
        <w:tblW w:w="9824" w:type="dxa"/>
        <w:jc w:val="center"/>
        <w:tblLayout w:type="fixed"/>
        <w:tblCellMar>
          <w:top w:w="0" w:type="dxa"/>
          <w:left w:w="108" w:type="dxa"/>
          <w:bottom w:w="0" w:type="dxa"/>
          <w:right w:w="108" w:type="dxa"/>
        </w:tblCellMar>
      </w:tblPr>
      <w:tblGrid>
        <w:gridCol w:w="368"/>
        <w:gridCol w:w="432"/>
        <w:gridCol w:w="1404"/>
        <w:gridCol w:w="864"/>
        <w:gridCol w:w="2282"/>
        <w:gridCol w:w="672"/>
        <w:gridCol w:w="706"/>
        <w:gridCol w:w="1923"/>
        <w:gridCol w:w="1173"/>
      </w:tblGrid>
      <w:tr w14:paraId="0B46125D">
        <w:tblPrEx>
          <w:tblCellMar>
            <w:top w:w="0" w:type="dxa"/>
            <w:left w:w="108" w:type="dxa"/>
            <w:bottom w:w="0" w:type="dxa"/>
            <w:right w:w="108" w:type="dxa"/>
          </w:tblCellMar>
        </w:tblPrEx>
        <w:trPr>
          <w:trHeight w:val="631" w:hRule="atLeast"/>
          <w:jc w:val="center"/>
        </w:trPr>
        <w:tc>
          <w:tcPr>
            <w:tcW w:w="2204" w:type="dxa"/>
            <w:gridSpan w:val="3"/>
            <w:tcBorders>
              <w:top w:val="single" w:color="000000" w:sz="4" w:space="0"/>
              <w:left w:val="single" w:color="000000" w:sz="4" w:space="0"/>
              <w:bottom w:val="single" w:color="000000" w:sz="4" w:space="0"/>
              <w:right w:val="single" w:color="000000" w:sz="4" w:space="0"/>
            </w:tcBorders>
            <w:shd w:val="clear" w:color="auto" w:fill="C7DBFF"/>
            <w:vAlign w:val="center"/>
          </w:tcPr>
          <w:p w14:paraId="5618AC5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分类</w:t>
            </w:r>
          </w:p>
        </w:tc>
        <w:tc>
          <w:tcPr>
            <w:tcW w:w="864"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0B98442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课程代码</w:t>
            </w:r>
          </w:p>
        </w:tc>
        <w:tc>
          <w:tcPr>
            <w:tcW w:w="228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6B7C192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课程名称</w:t>
            </w:r>
          </w:p>
        </w:tc>
        <w:tc>
          <w:tcPr>
            <w:tcW w:w="67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12DE172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学分</w:t>
            </w:r>
          </w:p>
        </w:tc>
        <w:tc>
          <w:tcPr>
            <w:tcW w:w="706"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6D2C1F1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建议修读学期</w:t>
            </w:r>
          </w:p>
        </w:tc>
        <w:tc>
          <w:tcPr>
            <w:tcW w:w="1923"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50B1BE5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开课院系</w:t>
            </w:r>
          </w:p>
        </w:tc>
        <w:tc>
          <w:tcPr>
            <w:tcW w:w="1173"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4DDF517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6"/>
                <w:szCs w:val="16"/>
              </w:rPr>
            </w:pPr>
            <w:r>
              <w:rPr>
                <w:rFonts w:hint="eastAsia" w:ascii="微软雅黑" w:hAnsi="微软雅黑" w:cs="微软雅黑"/>
                <w:color w:val="auto"/>
                <w:kern w:val="0"/>
                <w:sz w:val="16"/>
                <w:szCs w:val="16"/>
                <w:lang w:bidi="ar"/>
              </w:rPr>
              <w:t>备注</w:t>
            </w:r>
          </w:p>
        </w:tc>
      </w:tr>
      <w:tr w14:paraId="793D8EC6">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B271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通识教育课程</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87F9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通识教育核心课程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4A27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思想政治理论课程模块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C547">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102985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3B2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中国近现代史纲要</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A1C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36F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971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7857">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B04A9F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9B34B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5B2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0892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01F8">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101156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6369">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形势与政策</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5E3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C1E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2F1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1DBD">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8F6B16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F9151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ADB3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887E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6D60">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101938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BCEA">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思想道德与法治</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29F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8AC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AD0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F2F7">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629EB1C5">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B0023F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98D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756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F5AD">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104792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92DD">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⽑泽东思想和中国特⾊社会主义理论体系概论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F7C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A92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C31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0A52">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5ADFCA8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16C56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F84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0DA0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7D6E">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103638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C4B9">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⻢克思主义基本原理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A5E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623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DD9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053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2A23886F">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6A463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447E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845C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FF12">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104793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2138">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习近平新时代中国特色社会主义思想概论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265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2FB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BA2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0339">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51F012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35E54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A0EF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DE83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2337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199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D35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tcPr>
          <w:p w14:paraId="50C81C8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4CE7">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886B4E9">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7CEB3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8B55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07C1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5DA91">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理论素养教育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E6C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700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E52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175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p>
        </w:tc>
      </w:tr>
      <w:tr w14:paraId="3952F5C6">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D700A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FB38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6D46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F512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15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CBEA">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90D2">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6B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463E52BF">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AB711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F4A9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E442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通识限选课程七大模块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93ADA">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（经典阅读与历史⽂化传承）  限选课</w:t>
            </w:r>
          </w:p>
        </w:tc>
        <w:tc>
          <w:tcPr>
            <w:tcW w:w="672" w:type="dxa"/>
            <w:tcBorders>
              <w:top w:val="nil"/>
              <w:left w:val="single" w:color="000000" w:sz="4" w:space="0"/>
              <w:bottom w:val="single" w:color="000000" w:sz="4" w:space="0"/>
              <w:right w:val="single" w:color="000000" w:sz="4" w:space="0"/>
            </w:tcBorders>
            <w:shd w:val="clear" w:color="auto" w:fill="auto"/>
            <w:vAlign w:val="center"/>
          </w:tcPr>
          <w:p w14:paraId="052376E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restart"/>
            <w:tcBorders>
              <w:top w:val="single" w:color="000000" w:sz="4" w:space="0"/>
              <w:left w:val="single" w:color="000000" w:sz="4" w:space="0"/>
              <w:right w:val="single" w:color="000000" w:sz="4" w:space="0"/>
            </w:tcBorders>
            <w:shd w:val="clear" w:color="auto" w:fill="auto"/>
            <w:vAlign w:val="center"/>
          </w:tcPr>
          <w:p w14:paraId="3C94DD6C">
            <w:pPr>
              <w:pageBreakBefore w:val="0"/>
              <w:kinsoku/>
              <w:wordWrap/>
              <w:overflowPunct/>
              <w:topLinePunct w:val="0"/>
              <w:autoSpaceDE/>
              <w:autoSpaceDN/>
              <w:bidi w:val="0"/>
              <w:adjustRightInd/>
              <w:snapToGrid/>
              <w:jc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sz w:val="18"/>
                <w:szCs w:val="18"/>
                <w:lang w:val="en-US" w:eastAsia="zh-CN"/>
              </w:rPr>
              <w:t>1-7</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54D9">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6CFC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七个模块中选择四个修读，详见通识限选课程培养方案</w:t>
            </w:r>
          </w:p>
        </w:tc>
      </w:tr>
      <w:tr w14:paraId="1B2DBE3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F9457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B15D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2902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041E3">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（哲学思辨与伦理规范）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A41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1A2EEABB">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D79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E4C30">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5FC293D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E6B8E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FE12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DD60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8DF93">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通识模块三  （艺术修养与运动健康）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EF1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05E2BD72">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81B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E8E36">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07460B7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ADAFD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88B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BFA5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FC819">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通识模块四  （经济分析与数学思维）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67E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040A2C3C">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930">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0338A">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0F4FF1E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321E3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B28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654F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52CA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通识模块五  （社会分析与公⺠素养）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64E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6862874D">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7F7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1687">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763A0C77">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0072A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48C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1800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84D68">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通识模块六  （科学探索与智能素养）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343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684727D5">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F338">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260D8">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22E7E83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FD34C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F9B2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0ED1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503E5">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通识模块七  （</w:t>
            </w:r>
            <w:r>
              <w:rPr>
                <w:rFonts w:hint="eastAsia" w:ascii="微软雅黑" w:hAnsi="微软雅黑" w:cs="微软雅黑"/>
                <w:b/>
                <w:bCs/>
                <w:color w:val="auto"/>
                <w:kern w:val="0"/>
                <w:sz w:val="13"/>
                <w:szCs w:val="13"/>
                <w:lang w:eastAsia="zh-CN" w:bidi="ar"/>
              </w:rPr>
              <w:t>文明互鉴与全球领导力</w:t>
            </w:r>
            <w:r>
              <w:rPr>
                <w:rFonts w:hint="eastAsia" w:ascii="微软雅黑" w:hAnsi="微软雅黑" w:cs="微软雅黑"/>
                <w:b/>
                <w:bCs/>
                <w:color w:val="auto"/>
                <w:kern w:val="0"/>
                <w:sz w:val="13"/>
                <w:szCs w:val="13"/>
                <w:lang w:bidi="ar"/>
              </w:rPr>
              <w:t>）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2EE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bottom w:val="single" w:color="000000" w:sz="4" w:space="0"/>
              <w:right w:val="single" w:color="000000" w:sz="4" w:space="0"/>
            </w:tcBorders>
            <w:shd w:val="clear" w:color="auto" w:fill="auto"/>
            <w:vAlign w:val="center"/>
          </w:tcPr>
          <w:p w14:paraId="097BFF8F">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D308">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E20D">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5199655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C4312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FD8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420E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DFC6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选修学分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E84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8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0FB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639B">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E469">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6076241">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D1823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7E2A8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C0F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23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10B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AED9">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6C10">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218E180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51132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9B51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专项教育课程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3E91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外语课程模块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340F3">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795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73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DE2D">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F22F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详见外语课程培养方案</w:t>
            </w:r>
          </w:p>
        </w:tc>
      </w:tr>
      <w:tr w14:paraId="242C274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3DAA4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938E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A00F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2E867">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A2D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E44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8800">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1418A">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27B0FCF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EC521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73BF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532C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8C16C">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eastAsia="zh-CN" w:bidi="ar"/>
              </w:rPr>
              <w:t>多语与跨文化沟通</w:t>
            </w:r>
            <w:r>
              <w:rPr>
                <w:rFonts w:hint="eastAsia" w:ascii="微软雅黑" w:hAnsi="微软雅黑" w:cs="微软雅黑"/>
                <w:color w:val="auto"/>
                <w:kern w:val="0"/>
                <w:sz w:val="18"/>
                <w:szCs w:val="18"/>
                <w:lang w:bidi="ar"/>
              </w:rPr>
              <w:t>模块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259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395A">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kern w:val="0"/>
                <w:sz w:val="18"/>
                <w:szCs w:val="18"/>
                <w:lang w:bidi="ar"/>
              </w:rPr>
              <w:t>3</w:t>
            </w:r>
            <w:r>
              <w:rPr>
                <w:rFonts w:hint="eastAsia" w:ascii="微软雅黑" w:hAnsi="微软雅黑" w:cs="微软雅黑"/>
                <w:color w:val="auto"/>
                <w:kern w:val="0"/>
                <w:sz w:val="18"/>
                <w:szCs w:val="18"/>
                <w:lang w:val="en-US" w:eastAsia="zh-CN"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FD72">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0F0C1">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28C0618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BE6972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1AF2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A1C6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15B9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691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DB9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253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B3E0">
            <w:pPr>
              <w:pageBreakBefore w:val="0"/>
              <w:kinsoku/>
              <w:wordWrap/>
              <w:overflowPunct/>
              <w:topLinePunct w:val="0"/>
              <w:autoSpaceDE/>
              <w:autoSpaceDN/>
              <w:bidi w:val="0"/>
              <w:adjustRightInd/>
              <w:snapToGrid/>
              <w:outlineLvl w:val="9"/>
              <w:rPr>
                <w:rFonts w:ascii="微软雅黑" w:hAnsi="微软雅黑" w:cs="微软雅黑"/>
                <w:color w:val="auto"/>
                <w:sz w:val="18"/>
                <w:szCs w:val="18"/>
              </w:rPr>
            </w:pPr>
          </w:p>
        </w:tc>
      </w:tr>
      <w:tr w14:paraId="623903B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69767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977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5919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体育课程模块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FD30F">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A19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1D9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91C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059F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详见体育课程培养方案</w:t>
            </w:r>
          </w:p>
        </w:tc>
      </w:tr>
      <w:tr w14:paraId="11FA490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4F93C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4805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CAE6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A5CC2">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6E0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87A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85A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381DF">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1663174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D0D66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D279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4E2A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9462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A28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F70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519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A801">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2CDF40E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804A9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985B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FD8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9C60F">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体育模块 IV</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194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549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0D9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ECA99">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54118F1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C89D6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467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7A2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6E65E">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体育锻炼</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6BB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 xml:space="preserve">0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C4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5-6</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543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7E824">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r>
      <w:tr w14:paraId="7F1E102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AB08F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3107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B9C4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7B4D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CD3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5FE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B481">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958C">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4A256F00">
        <w:tblPrEx>
          <w:tblCellMar>
            <w:top w:w="0" w:type="dxa"/>
            <w:left w:w="108" w:type="dxa"/>
            <w:bottom w:w="0" w:type="dxa"/>
            <w:right w:w="108" w:type="dxa"/>
          </w:tblCellMar>
        </w:tblPrEx>
        <w:trPr>
          <w:trHeight w:val="409"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5E580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A0E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D578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人工智能课程模块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4DF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107260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71E5">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《人工智能导论（B）》</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449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46DA">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F0EF">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统计与数据科学学院</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F58F">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可选修《人工智能导论（A）》课程做替换</w:t>
            </w:r>
          </w:p>
        </w:tc>
      </w:tr>
      <w:tr w14:paraId="3FF9EF70">
        <w:tblPrEx>
          <w:tblCellMar>
            <w:top w:w="0" w:type="dxa"/>
            <w:left w:w="108" w:type="dxa"/>
            <w:bottom w:w="0" w:type="dxa"/>
            <w:right w:w="108" w:type="dxa"/>
          </w:tblCellMar>
        </w:tblPrEx>
        <w:trPr>
          <w:trHeight w:val="395"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203D2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7A99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1A8D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7600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D1A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55A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BAEA">
            <w:pPr>
              <w:pageBreakBefore w:val="0"/>
              <w:kinsoku/>
              <w:wordWrap/>
              <w:overflowPunct/>
              <w:topLinePunct w:val="0"/>
              <w:autoSpaceDE/>
              <w:autoSpaceDN/>
              <w:bidi w:val="0"/>
              <w:adjustRightInd/>
              <w:snapToGrid/>
              <w:jc w:val="left"/>
              <w:outlineLvl w:val="9"/>
              <w:rPr>
                <w:rFonts w:ascii="微软雅黑" w:hAnsi="微软雅黑" w:cs="微软雅黑"/>
                <w:b/>
                <w:bCs/>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755B">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4682A90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636B2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3DF8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469F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健康教育模块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C355">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106001</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59F1">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卫⽣保健</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1FA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573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6AA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医疗健康服务中⼼</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D081">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0936A3A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D9C167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5A1C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D0A8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4A02">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106233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29AF">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大学生心理健康与发展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FB2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276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280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党委学生工作部</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7D5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6E81CD3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30467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BD0B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2F0F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42B6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9E5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036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tcPr>
          <w:p w14:paraId="0E1BC502">
            <w:pPr>
              <w:pageBreakBefore w:val="0"/>
              <w:kinsoku/>
              <w:wordWrap/>
              <w:overflowPunct/>
              <w:topLinePunct w:val="0"/>
              <w:autoSpaceDE/>
              <w:autoSpaceDN/>
              <w:bidi w:val="0"/>
              <w:adjustRightInd/>
              <w:snapToGrid/>
              <w:jc w:val="left"/>
              <w:outlineLvl w:val="9"/>
              <w:rPr>
                <w:rFonts w:cs="Arial"/>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1A19C">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7DEA30E0">
        <w:tblPrEx>
          <w:tblCellMar>
            <w:top w:w="0" w:type="dxa"/>
            <w:left w:w="108" w:type="dxa"/>
            <w:bottom w:w="0" w:type="dxa"/>
            <w:right w:w="108" w:type="dxa"/>
          </w:tblCellMar>
        </w:tblPrEx>
        <w:trPr>
          <w:trHeight w:val="37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AB88C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4E0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003F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军事课程模块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4CEA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军训</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D83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F0B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F5B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576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r>
              <w:rPr>
                <w:rFonts w:hint="eastAsia" w:ascii="微软雅黑" w:hAnsi="微软雅黑" w:cs="微软雅黑"/>
                <w:color w:val="auto"/>
                <w:sz w:val="18"/>
                <w:szCs w:val="18"/>
              </w:rPr>
              <w:t>大一开学前</w:t>
            </w:r>
          </w:p>
        </w:tc>
      </w:tr>
      <w:tr w14:paraId="0DD3976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61FF4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A407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73B7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2D5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103486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CFD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军事理论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D4B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CB5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B8A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54A9">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55EC832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63691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4CB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27BD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E662">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106867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EEF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国家安全教育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E19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04A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CB5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保卫部</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9DB2">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430C6B1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6FCED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0363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0C1FA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8E3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4BB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6C66">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5D9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0FF1253A">
        <w:tblPrEx>
          <w:tblCellMar>
            <w:top w:w="0" w:type="dxa"/>
            <w:left w:w="108" w:type="dxa"/>
            <w:bottom w:w="0" w:type="dxa"/>
            <w:right w:w="108" w:type="dxa"/>
          </w:tblCellMar>
        </w:tblPrEx>
        <w:trPr>
          <w:trHeight w:val="382"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74179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A8A7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00746">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通识选修课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D9C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715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等线" w:hAnsi="等线" w:eastAsia="等线" w:cs="等线"/>
                <w:b/>
                <w:bCs/>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687A">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07E7">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42A6323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2DE2B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016C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6608E">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新生研讨课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EB0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0AF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b/>
                <w:bCs/>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773A">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9DF9">
            <w:pPr>
              <w:pageBreakBefore w:val="0"/>
              <w:kinsoku/>
              <w:wordWrap/>
              <w:overflowPunct/>
              <w:topLinePunct w:val="0"/>
              <w:autoSpaceDE/>
              <w:autoSpaceDN/>
              <w:bidi w:val="0"/>
              <w:adjustRightInd/>
              <w:snapToGrid/>
              <w:jc w:val="left"/>
              <w:outlineLvl w:val="9"/>
              <w:rPr>
                <w:rFonts w:ascii="等线" w:hAnsi="等线" w:eastAsia="等线" w:cs="等线"/>
                <w:color w:val="auto"/>
                <w:sz w:val="18"/>
                <w:szCs w:val="18"/>
              </w:rPr>
            </w:pPr>
          </w:p>
        </w:tc>
      </w:tr>
      <w:tr w14:paraId="592C391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E27E1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0C251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395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DC7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0391">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98B5">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0B3114B2">
        <w:tblPrEx>
          <w:tblCellMar>
            <w:top w:w="0" w:type="dxa"/>
            <w:left w:w="108" w:type="dxa"/>
            <w:bottom w:w="0" w:type="dxa"/>
            <w:right w:w="108" w:type="dxa"/>
          </w:tblCellMar>
        </w:tblPrEx>
        <w:trPr>
          <w:trHeight w:val="94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6D8F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124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46 </w:t>
            </w:r>
          </w:p>
        </w:tc>
        <w:tc>
          <w:tcPr>
            <w:tcW w:w="38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047D8">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至少修读2学分的艺术修养类通识限定选修课或通识选修课程，艺术修养课程清单将于每学期选课通知中发布</w:t>
            </w:r>
          </w:p>
        </w:tc>
      </w:tr>
      <w:tr w14:paraId="733B38E6">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3A15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专业培养模块</w:t>
            </w: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41826F8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学科共同课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B34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100693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D8A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155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FF1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414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top w:val="single" w:color="000000" w:sz="4" w:space="0"/>
              <w:left w:val="single" w:color="000000" w:sz="4" w:space="0"/>
              <w:right w:val="single" w:color="000000" w:sz="4" w:space="0"/>
            </w:tcBorders>
            <w:shd w:val="clear" w:color="auto" w:fill="auto"/>
            <w:vAlign w:val="center"/>
          </w:tcPr>
          <w:p w14:paraId="54FC6F0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5DCD8D5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02D0F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0117152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645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105308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478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CBC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557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549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408C34A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407AB2A9">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B3264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0D15BE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418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105309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AFB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数学分析III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C69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770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73B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29E4902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66B6A43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24C15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31A903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0EE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105494</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D49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概率论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82E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F6D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A00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6D801BC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3F293E9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C5D23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B1EE08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4C4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102480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D9D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数理统计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FB9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461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AF3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5D707AF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5383860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5365A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66E702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AD5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101828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503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计算机编程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B40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5CC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C9A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6871096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3205631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BA3FF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F34DD1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A16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103298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21D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高等代数I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6BB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CB7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078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数学学院</w:t>
            </w:r>
          </w:p>
        </w:tc>
        <w:tc>
          <w:tcPr>
            <w:tcW w:w="1173" w:type="dxa"/>
            <w:tcBorders>
              <w:left w:val="single" w:color="000000" w:sz="4" w:space="0"/>
              <w:right w:val="single" w:color="000000" w:sz="4" w:space="0"/>
            </w:tcBorders>
            <w:shd w:val="clear" w:color="auto" w:fill="auto"/>
            <w:vAlign w:val="center"/>
          </w:tcPr>
          <w:p w14:paraId="462C715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76220187">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B7113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11C5D1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540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103299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A47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高等代数II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E5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637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318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数学学院</w:t>
            </w:r>
          </w:p>
        </w:tc>
        <w:tc>
          <w:tcPr>
            <w:tcW w:w="1173" w:type="dxa"/>
            <w:tcBorders>
              <w:left w:val="single" w:color="000000" w:sz="4" w:space="0"/>
              <w:right w:val="single" w:color="000000" w:sz="4" w:space="0"/>
            </w:tcBorders>
            <w:shd w:val="clear" w:color="auto" w:fill="auto"/>
            <w:vAlign w:val="center"/>
          </w:tcPr>
          <w:p w14:paraId="1C1F418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数理基础课</w:t>
            </w:r>
          </w:p>
        </w:tc>
      </w:tr>
      <w:tr w14:paraId="5E441A9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A1934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7E9CC32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82C6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295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BCF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C30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left w:val="single" w:color="000000" w:sz="4" w:space="0"/>
              <w:right w:val="single" w:color="000000" w:sz="4" w:space="0"/>
            </w:tcBorders>
            <w:shd w:val="clear" w:color="auto" w:fill="auto"/>
            <w:vAlign w:val="center"/>
          </w:tcPr>
          <w:p w14:paraId="0A1B8EDB">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2F02039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BCBAB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6453F09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专业基础课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E9A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105508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D3B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数据库</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70C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E26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6E4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1F7A39A4">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5D3E121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51C9B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0BB390D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BC82">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107479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70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数值计算与模拟</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CF4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8CA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4</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8CD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69B8450E">
            <w:pPr>
              <w:pageBreakBefore w:val="0"/>
              <w:kinsoku/>
              <w:wordWrap/>
              <w:overflowPunct/>
              <w:topLinePunct w:val="0"/>
              <w:autoSpaceDE/>
              <w:autoSpaceDN/>
              <w:bidi w:val="0"/>
              <w:adjustRightInd/>
              <w:snapToGrid/>
              <w:outlineLvl w:val="9"/>
              <w:rPr>
                <w:rFonts w:ascii="微软雅黑" w:hAnsi="微软雅黑" w:cs="微软雅黑"/>
                <w:color w:val="auto"/>
                <w:sz w:val="18"/>
                <w:szCs w:val="18"/>
              </w:rPr>
            </w:pPr>
          </w:p>
        </w:tc>
      </w:tr>
      <w:tr w14:paraId="62F2CD3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48B454">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D3AC84A">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AD8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102689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DEE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机器学习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08B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D79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5</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4D5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7255DC5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6FDA3ED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7B6DE0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5D710E8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5CA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103275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9BE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数据科学导论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B9B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7A8A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5</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DC3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64962A1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AI+专业应用类课程</w:t>
            </w:r>
          </w:p>
        </w:tc>
      </w:tr>
      <w:tr w14:paraId="25F9DC1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AAF4E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381765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D0B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103278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439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分布式计算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96A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775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6</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0E3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3AE60926">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高年级研讨课（拟）</w:t>
            </w:r>
          </w:p>
        </w:tc>
      </w:tr>
      <w:tr w14:paraId="31E6E13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7DE7D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23378B2">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25FE">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等线" w:hAnsi="等线" w:eastAsia="等线" w:cs="等线"/>
                <w:color w:val="auto"/>
                <w:kern w:val="0"/>
                <w:sz w:val="18"/>
                <w:szCs w:val="18"/>
                <w:lang w:val="en-US" w:eastAsia="zh-CN" w:bidi="ar"/>
              </w:rPr>
              <w:t>107476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7F9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优化理论与方法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1A6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bookmarkStart w:id="2" w:name="_GoBack"/>
            <w:bookmarkEnd w:id="2"/>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B036">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6</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F19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31C01B5F">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3E2F85E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5B667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A77528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CB3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103087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E896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数据分析与可视化</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3D95">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53D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6</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7F3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3FE48E2F">
            <w:pPr>
              <w:pageBreakBefore w:val="0"/>
              <w:kinsoku/>
              <w:wordWrap/>
              <w:overflowPunct/>
              <w:topLinePunct w:val="0"/>
              <w:autoSpaceDE/>
              <w:autoSpaceDN/>
              <w:bidi w:val="0"/>
              <w:adjustRightInd/>
              <w:snapToGrid/>
              <w:outlineLvl w:val="9"/>
              <w:rPr>
                <w:rFonts w:ascii="微软雅黑" w:hAnsi="微软雅黑" w:cs="微软雅黑"/>
                <w:color w:val="auto"/>
                <w:sz w:val="18"/>
                <w:szCs w:val="18"/>
              </w:rPr>
            </w:pPr>
          </w:p>
        </w:tc>
      </w:tr>
      <w:tr w14:paraId="650CB2D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31C1A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FDF9E87">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7FF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105503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78F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 xml:space="preserve"> 深度学习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02E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7FC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6</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C44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284E75DF">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高年级研讨课（拟）、AI+专业前沿类课程</w:t>
            </w:r>
          </w:p>
        </w:tc>
      </w:tr>
      <w:tr w14:paraId="749D7F7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34EEB8">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0B6C6D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D55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105510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DBF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文本挖掘技术</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D597">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D34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7</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1BD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44A121E1">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7B06A12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2EEF8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8A9352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5B8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101410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51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线性模型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98A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696E">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黑体" w:hAnsi="宋体" w:eastAsia="黑体" w:cs="黑体"/>
                <w:color w:val="auto"/>
                <w:kern w:val="0"/>
                <w:szCs w:val="21"/>
                <w:lang w:bidi="ar"/>
              </w:rPr>
              <w:t>5</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793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等线" w:hAnsi="等线" w:eastAsia="等线" w:cs="等线"/>
                <w:color w:val="auto"/>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63637EDC">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3F39120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C6DB0F">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0EAC2A5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7C7D">
            <w:pPr>
              <w:pageBreakBefore w:val="0"/>
              <w:widowControl/>
              <w:kinsoku/>
              <w:wordWrap/>
              <w:overflowPunct/>
              <w:topLinePunct w:val="0"/>
              <w:autoSpaceDE/>
              <w:autoSpaceDN/>
              <w:bidi w:val="0"/>
              <w:adjustRightInd/>
              <w:snapToGrid/>
              <w:jc w:val="center"/>
              <w:textAlignment w:val="center"/>
              <w:outlineLvl w:val="9"/>
              <w:rPr>
                <w:rFonts w:hint="eastAsia" w:ascii="等线" w:hAnsi="等线" w:eastAsia="等线" w:cs="等线"/>
                <w:color w:val="FF0000"/>
                <w:kern w:val="0"/>
                <w:sz w:val="18"/>
                <w:szCs w:val="18"/>
                <w:lang w:bidi="ar"/>
              </w:rPr>
            </w:pPr>
            <w:r>
              <w:rPr>
                <w:rFonts w:hint="eastAsia" w:ascii="等线" w:hAnsi="等线" w:eastAsia="等线" w:cs="等线"/>
                <w:color w:val="FF0000"/>
                <w:kern w:val="0"/>
                <w:sz w:val="18"/>
                <w:szCs w:val="18"/>
                <w:lang w:bidi="ar"/>
              </w:rPr>
              <w:t>105506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A065">
            <w:pPr>
              <w:pageBreakBefore w:val="0"/>
              <w:widowControl/>
              <w:kinsoku/>
              <w:wordWrap/>
              <w:overflowPunct/>
              <w:topLinePunct w:val="0"/>
              <w:autoSpaceDE/>
              <w:autoSpaceDN/>
              <w:bidi w:val="0"/>
              <w:adjustRightInd/>
              <w:snapToGrid/>
              <w:jc w:val="center"/>
              <w:textAlignment w:val="center"/>
              <w:outlineLvl w:val="9"/>
              <w:rPr>
                <w:rFonts w:hint="default" w:ascii="等线" w:hAnsi="等线" w:eastAsia="等线" w:cs="等线"/>
                <w:color w:val="FF0000"/>
                <w:kern w:val="0"/>
                <w:sz w:val="18"/>
                <w:szCs w:val="18"/>
                <w:lang w:val="en-US" w:eastAsia="zh-CN" w:bidi="ar"/>
              </w:rPr>
            </w:pPr>
            <w:r>
              <w:rPr>
                <w:rFonts w:hint="eastAsia" w:ascii="等线" w:hAnsi="等线" w:eastAsia="等线" w:cs="等线"/>
                <w:color w:val="FF0000"/>
                <w:kern w:val="0"/>
                <w:sz w:val="18"/>
                <w:szCs w:val="18"/>
                <w:lang w:val="en-US" w:eastAsia="zh-CN" w:bidi="ar"/>
              </w:rPr>
              <w:t>数据结构</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1474">
            <w:pPr>
              <w:pageBreakBefore w:val="0"/>
              <w:widowControl/>
              <w:kinsoku/>
              <w:wordWrap/>
              <w:overflowPunct/>
              <w:topLinePunct w:val="0"/>
              <w:autoSpaceDE/>
              <w:autoSpaceDN/>
              <w:bidi w:val="0"/>
              <w:adjustRightInd/>
              <w:snapToGrid/>
              <w:jc w:val="center"/>
              <w:textAlignment w:val="center"/>
              <w:outlineLvl w:val="9"/>
              <w:rPr>
                <w:rFonts w:hint="eastAsia" w:ascii="等线" w:hAnsi="等线" w:eastAsia="等线" w:cs="等线"/>
                <w:color w:val="FF0000"/>
                <w:kern w:val="0"/>
                <w:sz w:val="18"/>
                <w:szCs w:val="18"/>
                <w:lang w:val="en-US" w:eastAsia="zh-CN" w:bidi="ar"/>
              </w:rPr>
            </w:pPr>
            <w:r>
              <w:rPr>
                <w:rFonts w:hint="eastAsia" w:ascii="等线" w:hAnsi="等线" w:eastAsia="等线" w:cs="等线"/>
                <w:color w:val="FF0000"/>
                <w:kern w:val="0"/>
                <w:sz w:val="18"/>
                <w:szCs w:val="18"/>
                <w:lang w:val="en-US" w:eastAsia="zh-CN"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D7A6">
            <w:pPr>
              <w:pageBreakBefore w:val="0"/>
              <w:widowControl/>
              <w:kinsoku/>
              <w:wordWrap/>
              <w:overflowPunct/>
              <w:topLinePunct w:val="0"/>
              <w:autoSpaceDE/>
              <w:autoSpaceDN/>
              <w:bidi w:val="0"/>
              <w:adjustRightInd/>
              <w:snapToGrid/>
              <w:jc w:val="center"/>
              <w:textAlignment w:val="center"/>
              <w:outlineLvl w:val="9"/>
              <w:rPr>
                <w:rFonts w:hint="eastAsia" w:ascii="黑体" w:hAnsi="宋体" w:eastAsia="黑体" w:cs="黑体"/>
                <w:color w:val="FF0000"/>
                <w:kern w:val="0"/>
                <w:szCs w:val="21"/>
                <w:lang w:val="en-US" w:eastAsia="zh-CN" w:bidi="ar"/>
              </w:rPr>
            </w:pPr>
            <w:r>
              <w:rPr>
                <w:rFonts w:hint="eastAsia" w:ascii="黑体" w:hAnsi="宋体" w:eastAsia="黑体" w:cs="黑体"/>
                <w:color w:val="FF0000"/>
                <w:kern w:val="0"/>
                <w:szCs w:val="21"/>
                <w:lang w:val="en-US" w:eastAsia="zh-CN" w:bidi="ar"/>
              </w:rPr>
              <w:t>3</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1AF2">
            <w:pPr>
              <w:pageBreakBefore w:val="0"/>
              <w:widowControl/>
              <w:kinsoku/>
              <w:wordWrap/>
              <w:overflowPunct/>
              <w:topLinePunct w:val="0"/>
              <w:autoSpaceDE/>
              <w:autoSpaceDN/>
              <w:bidi w:val="0"/>
              <w:adjustRightInd/>
              <w:snapToGrid/>
              <w:jc w:val="center"/>
              <w:textAlignment w:val="center"/>
              <w:outlineLvl w:val="9"/>
              <w:rPr>
                <w:rFonts w:hint="eastAsia" w:ascii="等线" w:hAnsi="等线" w:eastAsia="等线" w:cs="等线"/>
                <w:color w:val="FF0000"/>
                <w:kern w:val="0"/>
                <w:sz w:val="18"/>
                <w:szCs w:val="18"/>
                <w:lang w:bidi="ar"/>
              </w:rPr>
            </w:pPr>
            <w:r>
              <w:rPr>
                <w:rFonts w:hint="eastAsia" w:ascii="等线" w:hAnsi="等线" w:eastAsia="等线" w:cs="等线"/>
                <w:color w:val="FF0000"/>
                <w:kern w:val="0"/>
                <w:sz w:val="18"/>
                <w:szCs w:val="18"/>
                <w:lang w:bidi="ar"/>
              </w:rPr>
              <w:t>统计与数据科学学院</w:t>
            </w:r>
          </w:p>
        </w:tc>
        <w:tc>
          <w:tcPr>
            <w:tcW w:w="1173" w:type="dxa"/>
            <w:tcBorders>
              <w:left w:val="single" w:color="000000" w:sz="4" w:space="0"/>
              <w:right w:val="single" w:color="000000" w:sz="4" w:space="0"/>
            </w:tcBorders>
            <w:shd w:val="clear" w:color="auto" w:fill="auto"/>
            <w:vAlign w:val="center"/>
          </w:tcPr>
          <w:p w14:paraId="081FC5E9">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D78B2F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6063A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2DEB606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D93A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3CE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29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A40B">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F4F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7FB3">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5C5C004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75BB3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CFE6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CCAC">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60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988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8BA4">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F94F">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22E41286">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right w:val="single" w:color="auto" w:sz="4" w:space="0"/>
            </w:tcBorders>
            <w:shd w:val="clear" w:color="auto" w:fill="auto"/>
            <w:vAlign w:val="center"/>
          </w:tcPr>
          <w:p w14:paraId="5084511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个性化培养模块</w:t>
            </w:r>
          </w:p>
        </w:tc>
        <w:tc>
          <w:tcPr>
            <w:tcW w:w="9456" w:type="dxa"/>
            <w:gridSpan w:val="8"/>
            <w:tcBorders>
              <w:top w:val="single" w:color="auto" w:sz="4" w:space="0"/>
              <w:left w:val="single" w:color="auto" w:sz="4" w:space="0"/>
              <w:right w:val="single" w:color="000000" w:sz="4" w:space="0"/>
            </w:tcBorders>
            <w:shd w:val="clear" w:color="auto" w:fill="auto"/>
            <w:vAlign w:val="center"/>
          </w:tcPr>
          <w:p w14:paraId="7F27549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p>
        </w:tc>
      </w:tr>
      <w:tr w14:paraId="09D7BED4">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22A75C0C">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restart"/>
            <w:tcBorders>
              <w:top w:val="single" w:color="auto" w:sz="4" w:space="0"/>
              <w:left w:val="single" w:color="000000" w:sz="4" w:space="0"/>
              <w:right w:val="single" w:color="000000" w:sz="4" w:space="0"/>
            </w:tcBorders>
            <w:shd w:val="clear" w:color="auto" w:fill="auto"/>
            <w:vAlign w:val="center"/>
          </w:tcPr>
          <w:p w14:paraId="098309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卓越型</w:t>
            </w: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03022FDA">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专业方向模块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27127">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见卓越型专业方向模块课程清单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861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11</w:t>
            </w:r>
          </w:p>
        </w:tc>
        <w:tc>
          <w:tcPr>
            <w:tcW w:w="3802" w:type="dxa"/>
            <w:gridSpan w:val="3"/>
            <w:vMerge w:val="restart"/>
            <w:tcBorders>
              <w:top w:val="single" w:color="000000" w:sz="4" w:space="0"/>
              <w:left w:val="single" w:color="000000" w:sz="4" w:space="0"/>
              <w:right w:val="single" w:color="000000" w:sz="4" w:space="0"/>
            </w:tcBorders>
            <w:shd w:val="clear" w:color="auto" w:fill="auto"/>
            <w:vAlign w:val="center"/>
          </w:tcPr>
          <w:p w14:paraId="2682FAA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至少修读1学分国际课程，境外交流、访学等可替代该学分</w:t>
            </w:r>
          </w:p>
        </w:tc>
      </w:tr>
      <w:tr w14:paraId="76E8D5B3">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34C087C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5925E96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1E782E40">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跨学科选修</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2FD3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eastAsia="微软雅黑" w:cs="微软雅黑"/>
                <w:color w:val="auto"/>
                <w:kern w:val="0"/>
                <w:sz w:val="18"/>
                <w:szCs w:val="18"/>
                <w:lang w:eastAsia="zh-CN" w:bidi="ar"/>
              </w:rPr>
            </w:pPr>
            <w:r>
              <w:rPr>
                <w:rFonts w:hint="eastAsia" w:ascii="微软雅黑" w:hAnsi="微软雅黑" w:cs="微软雅黑"/>
                <w:color w:val="auto"/>
                <w:sz w:val="18"/>
                <w:szCs w:val="18"/>
              </w:rPr>
              <w:t>见跨学科选修</w:t>
            </w:r>
            <w:r>
              <w:rPr>
                <w:rFonts w:hint="eastAsia" w:ascii="微软雅黑" w:hAnsi="微软雅黑" w:cs="微软雅黑"/>
                <w:color w:val="auto"/>
                <w:sz w:val="18"/>
                <w:szCs w:val="18"/>
                <w:lang w:val="en-US" w:eastAsia="zh-CN"/>
              </w:rPr>
              <w:t>修读建议</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975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9</w:t>
            </w:r>
          </w:p>
        </w:tc>
        <w:tc>
          <w:tcPr>
            <w:tcW w:w="3802" w:type="dxa"/>
            <w:gridSpan w:val="3"/>
            <w:vMerge w:val="continue"/>
            <w:tcBorders>
              <w:left w:val="single" w:color="000000" w:sz="4" w:space="0"/>
              <w:right w:val="single" w:color="000000" w:sz="4" w:space="0"/>
            </w:tcBorders>
            <w:shd w:val="clear" w:color="auto" w:fill="auto"/>
            <w:vAlign w:val="center"/>
          </w:tcPr>
          <w:p w14:paraId="19A2000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7DE837B9">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5D5B3235">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0EA1F09A">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7597F326">
            <w:pPr>
              <w:pageBreakBefore w:val="0"/>
              <w:kinsoku/>
              <w:wordWrap/>
              <w:overflowPunct/>
              <w:topLinePunct w:val="0"/>
              <w:autoSpaceDE/>
              <w:autoSpaceDN/>
              <w:bidi w:val="0"/>
              <w:adjustRightInd/>
              <w:snapToGrid/>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双创训练</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7E347">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sz w:val="18"/>
                <w:szCs w:val="18"/>
              </w:rPr>
              <w:t>参照各学院制定的双创训练认定要求</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F8F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3802" w:type="dxa"/>
            <w:gridSpan w:val="3"/>
            <w:vMerge w:val="continue"/>
            <w:tcBorders>
              <w:left w:val="single" w:color="000000" w:sz="4" w:space="0"/>
              <w:bottom w:val="single" w:color="000000" w:sz="4" w:space="0"/>
              <w:right w:val="single" w:color="000000" w:sz="4" w:space="0"/>
            </w:tcBorders>
            <w:shd w:val="clear" w:color="auto" w:fill="auto"/>
            <w:vAlign w:val="center"/>
          </w:tcPr>
          <w:p w14:paraId="1D7A750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762B6226">
        <w:tblPrEx>
          <w:tblCellMar>
            <w:top w:w="0" w:type="dxa"/>
            <w:left w:w="108" w:type="dxa"/>
            <w:bottom w:w="0" w:type="dxa"/>
            <w:right w:w="108" w:type="dxa"/>
          </w:tblCellMar>
        </w:tblPrEx>
        <w:trPr>
          <w:trHeight w:val="32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50AEBE86">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bottom w:val="single" w:color="auto" w:sz="4" w:space="0"/>
              <w:right w:val="single" w:color="000000" w:sz="4" w:space="0"/>
            </w:tcBorders>
            <w:shd w:val="clear" w:color="auto" w:fill="auto"/>
            <w:vAlign w:val="center"/>
          </w:tcPr>
          <w:p w14:paraId="5AD0008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kern w:val="0"/>
                <w:sz w:val="18"/>
                <w:szCs w:val="18"/>
                <w:lang w:bidi="ar"/>
              </w:rPr>
            </w:pPr>
          </w:p>
        </w:tc>
        <w:tc>
          <w:tcPr>
            <w:tcW w:w="4550"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78B04F4B">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b/>
                <w:bCs/>
                <w:color w:val="auto"/>
                <w:sz w:val="18"/>
                <w:szCs w:val="18"/>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E8C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0AB7">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ED3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3B0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264B2C3B">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79613261">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restart"/>
            <w:tcBorders>
              <w:top w:val="single" w:color="auto" w:sz="4" w:space="0"/>
              <w:left w:val="single" w:color="000000" w:sz="4" w:space="0"/>
              <w:right w:val="single" w:color="000000" w:sz="4" w:space="0"/>
            </w:tcBorders>
            <w:shd w:val="clear" w:color="auto" w:fill="auto"/>
            <w:vAlign w:val="center"/>
          </w:tcPr>
          <w:p w14:paraId="20D6A6B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创业型</w:t>
            </w: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65C61DC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创业课程群模块</w:t>
            </w:r>
          </w:p>
        </w:tc>
        <w:tc>
          <w:tcPr>
            <w:tcW w:w="7620" w:type="dxa"/>
            <w:gridSpan w:val="6"/>
            <w:vMerge w:val="restart"/>
            <w:tcBorders>
              <w:top w:val="single" w:color="000000" w:sz="4" w:space="0"/>
              <w:left w:val="single" w:color="000000" w:sz="4" w:space="0"/>
              <w:right w:val="single" w:color="000000" w:sz="4" w:space="0"/>
            </w:tcBorders>
            <w:shd w:val="clear" w:color="auto" w:fill="auto"/>
            <w:vAlign w:val="center"/>
          </w:tcPr>
          <w:p w14:paraId="7C716C0D">
            <w:pPr>
              <w:pageBreakBefore w:val="0"/>
              <w:kinsoku/>
              <w:wordWrap/>
              <w:overflowPunct/>
              <w:topLinePunct w:val="0"/>
              <w:autoSpaceDE/>
              <w:autoSpaceDN/>
              <w:bidi w:val="0"/>
              <w:adjustRightInd/>
              <w:snapToGrid/>
              <w:jc w:val="left"/>
              <w:outlineLvl w:val="9"/>
              <w:rPr>
                <w:rFonts w:hint="eastAsia" w:ascii="微软雅黑" w:hAnsi="微软雅黑" w:eastAsia="微软雅黑" w:cs="微软雅黑"/>
                <w:color w:val="auto"/>
                <w:sz w:val="18"/>
                <w:szCs w:val="18"/>
                <w:lang w:val="en-US" w:eastAsia="zh-CN"/>
              </w:rPr>
            </w:pPr>
            <w:r>
              <w:rPr>
                <w:rFonts w:hint="eastAsia" w:ascii="微软雅黑" w:hAnsi="微软雅黑" w:cs="微软雅黑"/>
                <w:color w:val="auto"/>
                <w:sz w:val="18"/>
                <w:szCs w:val="18"/>
              </w:rPr>
              <w:t>详见</w:t>
            </w:r>
            <w:r>
              <w:rPr>
                <w:rFonts w:hint="eastAsia" w:ascii="微软雅黑" w:hAnsi="微软雅黑" w:cs="微软雅黑"/>
                <w:color w:val="auto"/>
                <w:sz w:val="18"/>
                <w:szCs w:val="18"/>
                <w:lang w:val="en-US" w:eastAsia="zh-CN"/>
              </w:rPr>
              <w:t>创新</w:t>
            </w:r>
            <w:r>
              <w:rPr>
                <w:rFonts w:hint="eastAsia" w:ascii="微软雅黑" w:hAnsi="微软雅黑" w:cs="微软雅黑"/>
                <w:color w:val="auto"/>
                <w:sz w:val="18"/>
                <w:szCs w:val="18"/>
              </w:rPr>
              <w:t>创业型培养方案</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13学分</w:t>
            </w:r>
            <w:r>
              <w:rPr>
                <w:rFonts w:hint="eastAsia" w:ascii="微软雅黑" w:hAnsi="微软雅黑" w:cs="微软雅黑"/>
                <w:color w:val="auto"/>
                <w:sz w:val="18"/>
                <w:szCs w:val="18"/>
                <w:lang w:eastAsia="zh-CN"/>
              </w:rPr>
              <w:t>）</w:t>
            </w:r>
          </w:p>
        </w:tc>
      </w:tr>
      <w:tr w14:paraId="71C1E126">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2CEC9080">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0A7059C4">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133070D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创业实践</w:t>
            </w:r>
          </w:p>
        </w:tc>
        <w:tc>
          <w:tcPr>
            <w:tcW w:w="7620" w:type="dxa"/>
            <w:gridSpan w:val="6"/>
            <w:vMerge w:val="continue"/>
            <w:tcBorders>
              <w:left w:val="single" w:color="000000" w:sz="4" w:space="0"/>
              <w:bottom w:val="single" w:color="000000" w:sz="4" w:space="0"/>
              <w:right w:val="single" w:color="000000" w:sz="4" w:space="0"/>
            </w:tcBorders>
            <w:shd w:val="clear" w:color="auto" w:fill="auto"/>
            <w:vAlign w:val="center"/>
          </w:tcPr>
          <w:p w14:paraId="4465001B">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66D63C73">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35E76ABD">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09F698EC">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54555B6B">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专业方向模块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0EEDC">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见卓越型专业方向模块课程清单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69B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5</w:t>
            </w:r>
          </w:p>
        </w:tc>
        <w:tc>
          <w:tcPr>
            <w:tcW w:w="3802" w:type="dxa"/>
            <w:gridSpan w:val="3"/>
            <w:vMerge w:val="restart"/>
            <w:tcBorders>
              <w:top w:val="single" w:color="000000" w:sz="4" w:space="0"/>
              <w:left w:val="single" w:color="000000" w:sz="4" w:space="0"/>
              <w:right w:val="single" w:color="000000" w:sz="4" w:space="0"/>
            </w:tcBorders>
            <w:shd w:val="clear" w:color="auto" w:fill="auto"/>
            <w:vAlign w:val="center"/>
          </w:tcPr>
          <w:p w14:paraId="1DFBFAEE">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至少修读1学分国际课程，境外交流、访学等可替代该学分</w:t>
            </w:r>
          </w:p>
        </w:tc>
      </w:tr>
      <w:tr w14:paraId="4186FA40">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43D9E64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1963740E">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1767FD27">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跨学科选修</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78043">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eastAsia="微软雅黑" w:cs="微软雅黑"/>
                <w:color w:val="auto"/>
                <w:sz w:val="18"/>
                <w:szCs w:val="18"/>
                <w:lang w:eastAsia="zh-CN"/>
              </w:rPr>
            </w:pPr>
            <w:r>
              <w:rPr>
                <w:rFonts w:hint="eastAsia" w:ascii="微软雅黑" w:hAnsi="微软雅黑" w:cs="微软雅黑"/>
                <w:color w:val="auto"/>
                <w:sz w:val="18"/>
                <w:szCs w:val="18"/>
              </w:rPr>
              <w:t>见跨学科选修</w:t>
            </w:r>
            <w:r>
              <w:rPr>
                <w:rFonts w:hint="eastAsia" w:ascii="微软雅黑" w:hAnsi="微软雅黑" w:cs="微软雅黑"/>
                <w:color w:val="auto"/>
                <w:sz w:val="18"/>
                <w:szCs w:val="18"/>
                <w:lang w:val="en-US" w:eastAsia="zh-CN"/>
              </w:rPr>
              <w:t>修读建议</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3B9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4</w:t>
            </w:r>
          </w:p>
        </w:tc>
        <w:tc>
          <w:tcPr>
            <w:tcW w:w="3802" w:type="dxa"/>
            <w:gridSpan w:val="3"/>
            <w:vMerge w:val="continue"/>
            <w:tcBorders>
              <w:left w:val="single" w:color="000000" w:sz="4" w:space="0"/>
              <w:bottom w:val="single" w:color="000000" w:sz="4" w:space="0"/>
              <w:right w:val="single" w:color="000000" w:sz="4" w:space="0"/>
            </w:tcBorders>
            <w:shd w:val="clear" w:color="auto" w:fill="auto"/>
            <w:vAlign w:val="center"/>
          </w:tcPr>
          <w:p w14:paraId="2FEA107B">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3713DD48">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723B5299">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32" w:type="dxa"/>
            <w:vMerge w:val="continue"/>
            <w:tcBorders>
              <w:left w:val="single" w:color="000000" w:sz="4" w:space="0"/>
              <w:bottom w:val="single" w:color="auto" w:sz="4" w:space="0"/>
              <w:right w:val="single" w:color="000000" w:sz="4" w:space="0"/>
            </w:tcBorders>
            <w:shd w:val="clear" w:color="auto" w:fill="auto"/>
            <w:vAlign w:val="center"/>
          </w:tcPr>
          <w:p w14:paraId="68DCA041">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p>
        </w:tc>
        <w:tc>
          <w:tcPr>
            <w:tcW w:w="4550"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72FCD45F">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3CE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r>
              <w:rPr>
                <w:rFonts w:hint="eastAsia" w:ascii="微软雅黑" w:hAnsi="微软雅黑" w:cs="微软雅黑"/>
                <w:color w:val="auto"/>
                <w:sz w:val="18"/>
                <w:szCs w:val="18"/>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E4C0">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5F23">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7CD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44FC5F9F">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bottom w:val="nil"/>
              <w:right w:val="single" w:color="auto" w:sz="4" w:space="0"/>
            </w:tcBorders>
            <w:shd w:val="clear" w:color="auto" w:fill="auto"/>
            <w:textDirection w:val="tbRlV"/>
            <w:vAlign w:val="center"/>
          </w:tcPr>
          <w:p w14:paraId="101CEE33">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EAC23D">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825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17D3">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D9C9">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CF95">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50A47DAF">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D1E1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5590">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3CCC">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1C86">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2648">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6A1723F">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6812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毕业实习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D808">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8D36">
            <w:pPr>
              <w:pageBreakBefore w:val="0"/>
              <w:kinsoku/>
              <w:wordWrap/>
              <w:overflowPunct/>
              <w:topLinePunct w:val="0"/>
              <w:autoSpaceDE/>
              <w:autoSpaceDN/>
              <w:bidi w:val="0"/>
              <w:adjustRightInd/>
              <w:snapToGrid/>
              <w:jc w:val="center"/>
              <w:outlineLvl w:val="9"/>
              <w:rPr>
                <w:rFonts w:ascii="微软雅黑" w:hAnsi="微软雅黑" w:cs="微软雅黑"/>
                <w:color w:val="auto"/>
                <w:sz w:val="18"/>
                <w:szCs w:val="18"/>
              </w:rPr>
            </w:pPr>
            <w:r>
              <w:rPr>
                <w:rFonts w:hint="eastAsia" w:ascii="微软雅黑" w:hAnsi="微软雅黑" w:cs="微软雅黑"/>
                <w:color w:val="auto"/>
                <w:sz w:val="18"/>
                <w:szCs w:val="18"/>
              </w:rPr>
              <w:t>8</w:t>
            </w: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3672">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877C">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63FD5662">
        <w:tblPrEx>
          <w:tblCellMar>
            <w:top w:w="0" w:type="dxa"/>
            <w:left w:w="108" w:type="dxa"/>
            <w:bottom w:w="0" w:type="dxa"/>
            <w:right w:w="108" w:type="dxa"/>
          </w:tblCellMar>
        </w:tblPrEx>
        <w:trPr>
          <w:trHeight w:val="63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8985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实践教育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A642">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10</w:t>
            </w:r>
          </w:p>
        </w:tc>
        <w:tc>
          <w:tcPr>
            <w:tcW w:w="38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F005A">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详见《上海财经大学本科生第二课堂（实践教育）学分认定及实施办法》</w:t>
            </w:r>
          </w:p>
        </w:tc>
      </w:tr>
      <w:tr w14:paraId="70E62B2F">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E7D7B4">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kern w:val="0"/>
                <w:sz w:val="18"/>
                <w:szCs w:val="18"/>
                <w:lang w:bidi="ar"/>
              </w:rPr>
              <w:t>全程总计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CFA9">
            <w:pPr>
              <w:pageBreakBefore w:val="0"/>
              <w:widowControl/>
              <w:kinsoku/>
              <w:wordWrap/>
              <w:overflowPunct/>
              <w:topLinePunct w:val="0"/>
              <w:autoSpaceDE/>
              <w:autoSpaceDN/>
              <w:bidi w:val="0"/>
              <w:adjustRightInd/>
              <w:snapToGrid/>
              <w:jc w:val="center"/>
              <w:textAlignment w:val="center"/>
              <w:outlineLvl w:val="9"/>
              <w:rPr>
                <w:rFonts w:ascii="微软雅黑" w:hAnsi="微软雅黑" w:cs="微软雅黑"/>
                <w:b/>
                <w:bCs/>
                <w:color w:val="auto"/>
                <w:sz w:val="18"/>
                <w:szCs w:val="18"/>
              </w:rPr>
            </w:pPr>
            <w:r>
              <w:rPr>
                <w:rFonts w:hint="eastAsia" w:ascii="微软雅黑" w:hAnsi="微软雅黑" w:cs="微软雅黑"/>
                <w:b/>
                <w:bCs/>
                <w:color w:val="auto"/>
                <w:sz w:val="18"/>
                <w:szCs w:val="18"/>
              </w:rPr>
              <w:t>146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53DE">
            <w:pPr>
              <w:pageBreakBefore w:val="0"/>
              <w:kinsoku/>
              <w:wordWrap/>
              <w:overflowPunct/>
              <w:topLinePunct w:val="0"/>
              <w:autoSpaceDE/>
              <w:autoSpaceDN/>
              <w:bidi w:val="0"/>
              <w:adjustRightInd/>
              <w:snapToGrid/>
              <w:jc w:val="center"/>
              <w:outlineLvl w:val="9"/>
              <w:rPr>
                <w:rFonts w:ascii="微软雅黑" w:hAnsi="微软雅黑" w:cs="微软雅黑"/>
                <w:b/>
                <w:bCs/>
                <w:color w:val="auto"/>
                <w:sz w:val="18"/>
                <w:szCs w:val="18"/>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64D0">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281A">
            <w:pPr>
              <w:pageBreakBefore w:val="0"/>
              <w:kinsoku/>
              <w:wordWrap/>
              <w:overflowPunct/>
              <w:topLinePunct w:val="0"/>
              <w:autoSpaceDE/>
              <w:autoSpaceDN/>
              <w:bidi w:val="0"/>
              <w:adjustRightInd/>
              <w:snapToGrid/>
              <w:jc w:val="left"/>
              <w:outlineLvl w:val="9"/>
              <w:rPr>
                <w:rFonts w:ascii="微软雅黑" w:hAnsi="微软雅黑" w:cs="微软雅黑"/>
                <w:color w:val="auto"/>
                <w:sz w:val="18"/>
                <w:szCs w:val="18"/>
              </w:rPr>
            </w:pPr>
          </w:p>
        </w:tc>
      </w:tr>
      <w:tr w14:paraId="114DCED1">
        <w:tblPrEx>
          <w:tblCellMar>
            <w:top w:w="0" w:type="dxa"/>
            <w:left w:w="108" w:type="dxa"/>
            <w:bottom w:w="0" w:type="dxa"/>
            <w:right w:w="108" w:type="dxa"/>
          </w:tblCellMar>
        </w:tblPrEx>
        <w:trPr>
          <w:trHeight w:val="1881" w:hRule="atLeast"/>
          <w:jc w:val="center"/>
        </w:trPr>
        <w:tc>
          <w:tcPr>
            <w:tcW w:w="30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139DB0">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sz w:val="18"/>
                <w:szCs w:val="18"/>
              </w:rPr>
            </w:pPr>
            <w:r>
              <w:rPr>
                <w:rFonts w:hint="eastAsia" w:ascii="微软雅黑" w:hAnsi="微软雅黑" w:cs="微软雅黑"/>
                <w:color w:val="auto"/>
                <w:kern w:val="0"/>
                <w:sz w:val="18"/>
                <w:szCs w:val="18"/>
                <w:lang w:bidi="ar"/>
              </w:rPr>
              <w:t>备注</w:t>
            </w:r>
          </w:p>
        </w:tc>
        <w:tc>
          <w:tcPr>
            <w:tcW w:w="67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54D45">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1）至少修读2学分的艺术修养类通识限定选修课或通识选修课程，艺术修养课程清单将于每学期选课通知中发布；</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2）需完成不少于32学时（2学分）的劳动实践教育内容；</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3）至少修读1学分国际课程，境外交流、访学等可替代该学分。修读的暑期国际课程超过1学分的，具体替换规则以学院当年通知细则为准；</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4）2025级新生必修1学分新生研讨课，多修的学分可认作通识选修；</w:t>
            </w:r>
          </w:p>
          <w:p w14:paraId="4AC20BDC">
            <w:pPr>
              <w:pageBreakBefore w:val="0"/>
              <w:widowControl/>
              <w:kinsoku/>
              <w:wordWrap/>
              <w:overflowPunct/>
              <w:topLinePunct w:val="0"/>
              <w:autoSpaceDE/>
              <w:autoSpaceDN/>
              <w:bidi w:val="0"/>
              <w:adjustRightInd/>
              <w:snapToGrid/>
              <w:jc w:val="left"/>
              <w:textAlignment w:val="center"/>
              <w:outlineLvl w:val="9"/>
              <w:rPr>
                <w:rFonts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5）具体执行以教学系统最新信息为准。</w:t>
            </w:r>
          </w:p>
        </w:tc>
      </w:tr>
    </w:tbl>
    <w:p w14:paraId="3BBD9B24">
      <w:pPr>
        <w:pageBreakBefore w:val="0"/>
        <w:kinsoku/>
        <w:wordWrap/>
        <w:overflowPunct/>
        <w:topLinePunct w:val="0"/>
        <w:autoSpaceDE/>
        <w:autoSpaceDN/>
        <w:bidi w:val="0"/>
        <w:adjustRightInd/>
        <w:snapToGrid/>
        <w:outlineLvl w:val="9"/>
      </w:pPr>
    </w:p>
    <w:p w14:paraId="31E24AD6">
      <w:pPr>
        <w:pageBreakBefore w:val="0"/>
        <w:kinsoku/>
        <w:wordWrap/>
        <w:overflowPunct/>
        <w:topLinePunct w:val="0"/>
        <w:bidi w:val="0"/>
        <w:outlineLvl w:val="9"/>
        <w:rPr>
          <w:rFonts w:hint="default"/>
          <w:lang w:eastAsia="zh-CN"/>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8F0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A186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8A186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A3D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C8B2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90C8B2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9611C8"/>
    <w:multiLevelType w:val="multilevel"/>
    <w:tmpl w:val="119611C8"/>
    <w:lvl w:ilvl="0" w:tentative="0">
      <w:start w:val="1"/>
      <w:numFmt w:val="japaneseCounting"/>
      <w:suff w:val="space"/>
      <w:lvlText w:val="%1、"/>
      <w:lvlJc w:val="left"/>
      <w:pPr>
        <w:ind w:left="375" w:hanging="375"/>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3F1B0CF7"/>
    <w:multiLevelType w:val="singleLevel"/>
    <w:tmpl w:val="3F1B0CF7"/>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ZWU4ZmI5NDE1MTAwMGI5YjgxNDFlZTIwNTVhZjYifQ=="/>
  </w:docVars>
  <w:rsids>
    <w:rsidRoot w:val="1AA24D9F"/>
    <w:rsid w:val="016A0312"/>
    <w:rsid w:val="01DE1773"/>
    <w:rsid w:val="01F53827"/>
    <w:rsid w:val="047D34C5"/>
    <w:rsid w:val="04F07245"/>
    <w:rsid w:val="05D318A2"/>
    <w:rsid w:val="07011CC2"/>
    <w:rsid w:val="07644792"/>
    <w:rsid w:val="07CB0D48"/>
    <w:rsid w:val="08393E4B"/>
    <w:rsid w:val="09284798"/>
    <w:rsid w:val="0B3B1FA1"/>
    <w:rsid w:val="0BFA45AB"/>
    <w:rsid w:val="0CAA1606"/>
    <w:rsid w:val="0ED879FC"/>
    <w:rsid w:val="0F2B6FD9"/>
    <w:rsid w:val="0F8274D1"/>
    <w:rsid w:val="102B279D"/>
    <w:rsid w:val="11590BE0"/>
    <w:rsid w:val="11E608FC"/>
    <w:rsid w:val="14E310AE"/>
    <w:rsid w:val="15CC0255"/>
    <w:rsid w:val="16F20EE6"/>
    <w:rsid w:val="16FF34BC"/>
    <w:rsid w:val="177A742D"/>
    <w:rsid w:val="183741AA"/>
    <w:rsid w:val="183C240D"/>
    <w:rsid w:val="18CA3609"/>
    <w:rsid w:val="19536487"/>
    <w:rsid w:val="19AE222D"/>
    <w:rsid w:val="1AA24D9F"/>
    <w:rsid w:val="1AA51B47"/>
    <w:rsid w:val="1C294527"/>
    <w:rsid w:val="1E69265C"/>
    <w:rsid w:val="1FDC4E00"/>
    <w:rsid w:val="20F77987"/>
    <w:rsid w:val="21045F1A"/>
    <w:rsid w:val="25A213E4"/>
    <w:rsid w:val="26D235C1"/>
    <w:rsid w:val="286835D5"/>
    <w:rsid w:val="28CC21F1"/>
    <w:rsid w:val="28DA2E89"/>
    <w:rsid w:val="29EE4F5D"/>
    <w:rsid w:val="2A4254F9"/>
    <w:rsid w:val="2C523658"/>
    <w:rsid w:val="2D1F32F4"/>
    <w:rsid w:val="2F68739C"/>
    <w:rsid w:val="323B4D81"/>
    <w:rsid w:val="324E00CB"/>
    <w:rsid w:val="33D167A2"/>
    <w:rsid w:val="348957C0"/>
    <w:rsid w:val="34B70380"/>
    <w:rsid w:val="37781747"/>
    <w:rsid w:val="3AE174A3"/>
    <w:rsid w:val="3B477122"/>
    <w:rsid w:val="3C756DD6"/>
    <w:rsid w:val="3CAF061D"/>
    <w:rsid w:val="3D6F3FD5"/>
    <w:rsid w:val="3DC72A6A"/>
    <w:rsid w:val="3FA82888"/>
    <w:rsid w:val="3FC45529"/>
    <w:rsid w:val="40C64D89"/>
    <w:rsid w:val="411A6C50"/>
    <w:rsid w:val="43122A4F"/>
    <w:rsid w:val="43446334"/>
    <w:rsid w:val="435E52BB"/>
    <w:rsid w:val="43F15787"/>
    <w:rsid w:val="43F22B3C"/>
    <w:rsid w:val="44A84E71"/>
    <w:rsid w:val="46D27447"/>
    <w:rsid w:val="477DCE1E"/>
    <w:rsid w:val="4A2A2A05"/>
    <w:rsid w:val="4A81613F"/>
    <w:rsid w:val="4E544E1C"/>
    <w:rsid w:val="50167615"/>
    <w:rsid w:val="50936917"/>
    <w:rsid w:val="50CC3A9C"/>
    <w:rsid w:val="51AB6549"/>
    <w:rsid w:val="52E42775"/>
    <w:rsid w:val="5376076A"/>
    <w:rsid w:val="538F1479"/>
    <w:rsid w:val="547A0454"/>
    <w:rsid w:val="558A46C7"/>
    <w:rsid w:val="55C43F25"/>
    <w:rsid w:val="573E1E21"/>
    <w:rsid w:val="58AB1524"/>
    <w:rsid w:val="58B85E97"/>
    <w:rsid w:val="58E94269"/>
    <w:rsid w:val="5967410F"/>
    <w:rsid w:val="59BD5491"/>
    <w:rsid w:val="59DE55FD"/>
    <w:rsid w:val="5A177DF2"/>
    <w:rsid w:val="5B487E91"/>
    <w:rsid w:val="5C02145B"/>
    <w:rsid w:val="5CF9550F"/>
    <w:rsid w:val="5DA12EF6"/>
    <w:rsid w:val="5DC4246B"/>
    <w:rsid w:val="5DF866B7"/>
    <w:rsid w:val="5EFEBDE8"/>
    <w:rsid w:val="60531C25"/>
    <w:rsid w:val="62643A48"/>
    <w:rsid w:val="633839B4"/>
    <w:rsid w:val="66D36594"/>
    <w:rsid w:val="675F517C"/>
    <w:rsid w:val="67C91D61"/>
    <w:rsid w:val="68CA2609"/>
    <w:rsid w:val="68CC1AED"/>
    <w:rsid w:val="69BB0F42"/>
    <w:rsid w:val="6A3D32E1"/>
    <w:rsid w:val="6A637494"/>
    <w:rsid w:val="6AA12AE2"/>
    <w:rsid w:val="6B8552BA"/>
    <w:rsid w:val="6BCF62E6"/>
    <w:rsid w:val="6CD3A16D"/>
    <w:rsid w:val="6D535020"/>
    <w:rsid w:val="6E5F49A6"/>
    <w:rsid w:val="6ED21161"/>
    <w:rsid w:val="6F5A2F04"/>
    <w:rsid w:val="6FFF37D2"/>
    <w:rsid w:val="70DE2EF1"/>
    <w:rsid w:val="71786CE9"/>
    <w:rsid w:val="72330169"/>
    <w:rsid w:val="740155BF"/>
    <w:rsid w:val="76182B9F"/>
    <w:rsid w:val="763B5B08"/>
    <w:rsid w:val="77477D12"/>
    <w:rsid w:val="79541570"/>
    <w:rsid w:val="798C6B7D"/>
    <w:rsid w:val="79EE416C"/>
    <w:rsid w:val="7A17211E"/>
    <w:rsid w:val="7A8A30FA"/>
    <w:rsid w:val="7C5F4108"/>
    <w:rsid w:val="7CFD1C95"/>
    <w:rsid w:val="7D807FDA"/>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link w:val="30"/>
    <w:qFormat/>
    <w:uiPriority w:val="0"/>
    <w:pPr>
      <w:keepNext/>
      <w:keepLines/>
      <w:spacing w:before="260" w:beforeLines="0" w:beforeAutospacing="0" w:after="220" w:afterLines="0" w:afterAutospacing="0" w:line="360" w:lineRule="auto"/>
      <w:jc w:val="center"/>
      <w:outlineLvl w:val="0"/>
    </w:pPr>
    <w:rPr>
      <w:rFonts w:ascii="Arial" w:hAnsi="Arial"/>
      <w:kern w:val="44"/>
      <w:sz w:val="36"/>
    </w:rPr>
  </w:style>
  <w:style w:type="paragraph" w:styleId="3">
    <w:name w:val="heading 2"/>
    <w:basedOn w:val="1"/>
    <w:next w:val="1"/>
    <w:unhideWhenUsed/>
    <w:qFormat/>
    <w:uiPriority w:val="0"/>
    <w:pPr>
      <w:keepNext/>
      <w:keepLines/>
      <w:spacing w:beforeLines="0" w:beforeAutospacing="0" w:afterLines="0" w:afterAutospacing="0" w:line="360" w:lineRule="auto"/>
      <w:jc w:val="center"/>
      <w:outlineLvl w:val="1"/>
    </w:pPr>
    <w:rPr>
      <w:rFonts w:ascii="Arial" w:hAnsi="Arial"/>
      <w:b/>
      <w:sz w:val="30"/>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9">
    <w:name w:val="Default Paragraph Font"/>
    <w:qFormat/>
    <w:uiPriority w:val="0"/>
    <w:rPr>
      <w:rFonts w:eastAsia="微软雅黑" w:asciiTheme="minorAscii" w:hAnsiTheme="minorAscii"/>
    </w:rPr>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semiHidden/>
    <w:qFormat/>
    <w:uiPriority w:val="0"/>
    <w:rPr>
      <w:rFonts w:ascii="Arial" w:hAnsi="Arial" w:eastAsia="Arial" w:cs="Arial"/>
      <w:sz w:val="20"/>
      <w:szCs w:val="20"/>
      <w:lang w:val="en-US" w:eastAsia="en-US" w:bidi="ar-SA"/>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pPr>
      <w:spacing w:line="360" w:lineRule="auto"/>
      <w:jc w:val="center"/>
    </w:pPr>
    <w:rPr>
      <w:rFonts w:ascii="Arial" w:hAnsi="Arial" w:eastAsia="宋体"/>
      <w:sz w:val="28"/>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8">
    <w:name w:val="Table Grid"/>
    <w:basedOn w:val="17"/>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List Paragraph"/>
    <w:basedOn w:val="1"/>
    <w:qFormat/>
    <w:uiPriority w:val="34"/>
    <w:pPr>
      <w:ind w:firstLine="420" w:firstLineChars="200"/>
    </w:pPr>
  </w:style>
  <w:style w:type="character" w:customStyle="1" w:styleId="21">
    <w:name w:val="font31"/>
    <w:basedOn w:val="19"/>
    <w:qFormat/>
    <w:uiPriority w:val="0"/>
    <w:rPr>
      <w:rFonts w:hint="eastAsia" w:ascii="华文仿宋" w:hAnsi="华文仿宋" w:eastAsia="华文仿宋" w:cs="华文仿宋"/>
      <w:color w:val="000000"/>
      <w:sz w:val="21"/>
      <w:szCs w:val="21"/>
      <w:u w:val="none"/>
    </w:rPr>
  </w:style>
  <w:style w:type="character" w:customStyle="1" w:styleId="22">
    <w:name w:val="font41"/>
    <w:basedOn w:val="19"/>
    <w:qFormat/>
    <w:uiPriority w:val="0"/>
    <w:rPr>
      <w:rFonts w:hint="eastAsia" w:ascii="华文仿宋" w:hAnsi="华文仿宋" w:eastAsia="华文仿宋" w:cs="华文仿宋"/>
      <w:color w:val="000000"/>
      <w:sz w:val="20"/>
      <w:szCs w:val="20"/>
      <w:u w:val="none"/>
    </w:rPr>
  </w:style>
  <w:style w:type="table" w:customStyle="1" w:styleId="23">
    <w:name w:val="网格型1"/>
    <w:basedOn w:val="1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网格型2"/>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网格型3"/>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网格型4"/>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font21"/>
    <w:basedOn w:val="19"/>
    <w:qFormat/>
    <w:uiPriority w:val="0"/>
    <w:rPr>
      <w:rFonts w:hint="eastAsia" w:ascii="等线" w:hAnsi="等线" w:eastAsia="等线" w:cs="等线"/>
      <w:color w:val="000000"/>
      <w:sz w:val="18"/>
      <w:szCs w:val="18"/>
      <w:u w:val="none"/>
    </w:rPr>
  </w:style>
  <w:style w:type="paragraph" w:customStyle="1" w:styleId="28">
    <w:name w:val="列表段落1"/>
    <w:basedOn w:val="1"/>
    <w:qFormat/>
    <w:uiPriority w:val="99"/>
    <w:pPr>
      <w:ind w:firstLine="420" w:firstLineChars="200"/>
    </w:pPr>
  </w:style>
  <w:style w:type="paragraph" w:customStyle="1" w:styleId="29">
    <w:name w:val="正文-无缩进"/>
    <w:basedOn w:val="1"/>
    <w:qFormat/>
    <w:uiPriority w:val="0"/>
    <w:pPr>
      <w:spacing w:before="0" w:beforeLines="0" w:after="0" w:afterLines="0"/>
      <w:ind w:firstLine="0" w:firstLineChars="0"/>
      <w:jc w:val="left"/>
    </w:pPr>
    <w:rPr>
      <w:rFonts w:ascii="宋体" w:hAnsi="宋体" w:cs="宋体"/>
      <w:szCs w:val="18"/>
    </w:rPr>
  </w:style>
  <w:style w:type="character" w:customStyle="1" w:styleId="30">
    <w:name w:val="标题 1 Char"/>
    <w:link w:val="2"/>
    <w:qFormat/>
    <w:uiPriority w:val="0"/>
    <w:rPr>
      <w:rFonts w:ascii="Arial" w:hAnsi="Arial" w:eastAsia="微软雅黑"/>
      <w:b/>
      <w:kern w:val="44"/>
      <w:sz w:val="36"/>
    </w:rPr>
  </w:style>
  <w:style w:type="paragraph" w:customStyle="1" w:styleId="31">
    <w:name w:val="列出段落1"/>
    <w:basedOn w:val="1"/>
    <w:autoRedefine/>
    <w:qFormat/>
    <w:uiPriority w:val="99"/>
    <w:pPr>
      <w:ind w:firstLine="420" w:firstLineChars="200"/>
    </w:pPr>
    <w:rPr>
      <w:rFonts w:ascii="Calibri" w:hAnsi="Calibri" w:cs="Calibri"/>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1242</Words>
  <Characters>1254</Characters>
  <Lines>0</Lines>
  <Paragraphs>0</Paragraphs>
  <TotalTime>4</TotalTime>
  <ScaleCrop>false</ScaleCrop>
  <LinksUpToDate>false</LinksUpToDate>
  <CharactersWithSpaces>1256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wangnan</dc:creator>
  <cp:lastModifiedBy>鱼鱼子</cp:lastModifiedBy>
  <dcterms:modified xsi:type="dcterms:W3CDTF">2025-07-24T06:26:54Z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eyJoZGlkIjoiNTZmOGY4YWE4ZjVkYjAwMWFiMjE0MTk1NmExZjlhMjAiLCJ1c2VySWQiOiIyNDE4NDI4MzgifQ==</vt:lpwstr>
  </property>
  <property fmtid="{D5CDD505-2E9C-101B-9397-08002B2CF9AE}" pid="6" name="ICV">
    <vt:lpwstr>51D9561A97134D4587582775AF2812D4_13</vt:lpwstr>
  </property>
</Properties>
</file>