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FAE89">
      <w:pPr>
        <w:pStyle w:val="2"/>
        <w:bidi w:val="0"/>
      </w:pPr>
      <w:bookmarkStart w:id="0" w:name="OLE_LINK16"/>
      <w:r>
        <w:rPr>
          <w:rFonts w:hint="eastAsia"/>
        </w:rPr>
        <w:t>统计与数据科学学院</w:t>
      </w:r>
      <w:bookmarkStart w:id="1" w:name="OLE_LINK33"/>
      <w:r>
        <w:rPr>
          <w:rFonts w:hint="eastAsia"/>
        </w:rPr>
        <w:t>统计学（基地班）</w:t>
      </w:r>
      <w:r>
        <w:t>专业</w:t>
      </w:r>
      <w:bookmarkEnd w:id="1"/>
    </w:p>
    <w:p w14:paraId="387BEA70">
      <w:pPr>
        <w:pStyle w:val="2"/>
        <w:bidi w:val="0"/>
      </w:pPr>
      <w:r>
        <w:rPr>
          <w:rFonts w:hint="eastAsia"/>
        </w:rPr>
        <w:t>2025级本科</w:t>
      </w:r>
      <w:r>
        <w:t>培养方案</w:t>
      </w:r>
      <w:bookmarkEnd w:id="0"/>
    </w:p>
    <w:p w14:paraId="04DDAE45">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指导思想</w:t>
      </w:r>
    </w:p>
    <w:p w14:paraId="2DCD2BA8">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统计学专业依照国家“双一流”学科发展战略和上海财经大学章程制定本科培养方案。本专业旨在加强数理基础和计算能力的教学，实行专业教育和通识教育相结合，培育学生掌握良好的数学、统计学和外语等方面的基础知识和技能、具备科学素养、人文精神、国际视野、创新精神和实践能力。</w:t>
      </w:r>
    </w:p>
    <w:p w14:paraId="3310A499">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本专业实行“专通结合”和“拔尖型”人才教育；加强基础教学，拓宽专业口径；合理设置和安排课程体系，优化学生的知识结构；力求知识、能力和素质的协调发展，注重对学生综合素质的培养；积极推行创新教育，鼓励尖子人才脱颖而出。</w:t>
      </w:r>
    </w:p>
    <w:p w14:paraId="20874FE2">
      <w:pPr>
        <w:pageBreakBefore w:val="0"/>
        <w:widowControl/>
        <w:kinsoku/>
        <w:wordWrap/>
        <w:overflowPunct/>
        <w:topLinePunct w:val="0"/>
        <w:autoSpaceDE/>
        <w:autoSpaceDN/>
        <w:bidi w:val="0"/>
        <w:snapToGrid/>
        <w:jc w:val="left"/>
        <w:outlineLvl w:val="9"/>
        <w:rPr>
          <w:rFonts w:ascii="Segoe UI" w:hAnsi="Segoe UI" w:eastAsia="宋体" w:cs="Segoe UI"/>
          <w:i/>
          <w:color w:val="auto"/>
          <w:kern w:val="0"/>
          <w:szCs w:val="21"/>
        </w:rPr>
      </w:pPr>
    </w:p>
    <w:p w14:paraId="021063D4">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培养目标</w:t>
      </w:r>
    </w:p>
    <w:p w14:paraId="672520B1">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以习近平新时代中国特色社会主义思想为指导，深入贯彻落实党的二十大、全国高校思想政治工作会议和全国教育大会精神，坚持社会主义办学方向，紧紧围绕立德树人根本任务，紧密结合国家战略和经济社会发展的重大需求，瞄准学科和专业建设前沿，培养具有严谨求实的思想作风和较高的精神文明素养，德智体美劳全面发展，努力为建设中国特色社会主义服务的一流</w:t>
      </w:r>
      <w:r>
        <w:rPr>
          <w:rFonts w:hint="eastAsia" w:ascii="华文中宋" w:hAnsi="华文中宋" w:eastAsia="华文中宋" w:cs="华文中宋"/>
          <w:color w:val="auto"/>
          <w:szCs w:val="21"/>
          <w:lang w:val="en-US" w:eastAsia="zh-CN"/>
        </w:rPr>
        <w:t>拔尖</w:t>
      </w:r>
      <w:r>
        <w:rPr>
          <w:rFonts w:hint="eastAsia" w:ascii="华文中宋" w:hAnsi="华文中宋" w:eastAsia="华文中宋" w:cs="华文中宋"/>
          <w:color w:val="auto"/>
          <w:szCs w:val="21"/>
        </w:rPr>
        <w:t>财经人才。</w:t>
      </w:r>
    </w:p>
    <w:p w14:paraId="16641A84">
      <w:pPr>
        <w:pageBreakBefore w:val="0"/>
        <w:kinsoku/>
        <w:wordWrap/>
        <w:overflowPunct/>
        <w:topLinePunct w:val="0"/>
        <w:autoSpaceDE/>
        <w:autoSpaceDN/>
        <w:bidi w:val="0"/>
        <w:snapToGrid/>
        <w:ind w:firstLine="420" w:firstLineChars="200"/>
        <w:outlineLvl w:val="9"/>
        <w:rPr>
          <w:rFonts w:hint="eastAsia"/>
          <w:color w:val="auto"/>
          <w:szCs w:val="21"/>
        </w:rPr>
      </w:pPr>
      <w:r>
        <w:rPr>
          <w:rFonts w:hint="eastAsia" w:ascii="华文中宋" w:hAnsi="华文中宋" w:eastAsia="华文中宋" w:cs="华文中宋"/>
          <w:color w:val="auto"/>
          <w:szCs w:val="21"/>
        </w:rPr>
        <w:t>本专业致力于重点培养学生掌握统计学的基本理论、方法及计算机编程技能，并且能够掌握当前热点的人工智能（AI）方法工具与应用，使之具有良好的数学、统计学与人工智能（AI）素养、人文精神、科学素养、国际视野,具有较强的创新精神和实践能力，以及熟练借助并运用人工智能方法与工具进行自主学习和问题分析的能力，以及具有良好的计算机编程处理大数据的能力。实验班定位于培养数字时代的学术精英和未来战略社会科学家。培养学生具备扎实的数学与计算机功底、专而精的数理基础和统计思维能力，并配以经济学、金融学和管理学等领域的交叉知识，形成发现问题、解决问题的综合学术素养的创新统计拔尖型人才。毕业生的主要去向：出国深造、攻读研究生，或在银行、证券、保险、制药等行业的政府部门、上市公司、企业集团等从事高级分析、预测决策、咨询管理等工作。</w:t>
      </w:r>
    </w:p>
    <w:p w14:paraId="195A093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rPr>
      </w:pPr>
    </w:p>
    <w:p w14:paraId="2E20D6A7">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培养要求</w:t>
      </w:r>
    </w:p>
    <w:p w14:paraId="37AF09FA">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本专业本科学生，通过在校学习，在思想政治、专业知识、能力结构和个人素质等方面达到以下要求：</w:t>
      </w:r>
    </w:p>
    <w:p w14:paraId="49FAEA51">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一）思想政治与品德修养：坚定拥护中国共产党的领导和中国特色社会主义制度，深入学习领会习近平新时代中国特色社会主义思想的核心要义。胸怀深厚的家国情怀，秉持崇高的理想信念，肩负高度的社会责任感。恪守职业道德，弘扬法治精神，具备良好的道德修养与诚信品质。注重文化涵养，塑造健全人格，努力成为明大德、守公德、严私德的时代新人。具有科学世界观，爱国主义和集体主义精神，有理想，有道德，有文化，守纪律，成为立志献身祖国建设事业的合格公民。</w:t>
      </w:r>
    </w:p>
    <w:p w14:paraId="511E8566">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（二）知识结构与理论基础</w:t>
      </w:r>
    </w:p>
    <w:p w14:paraId="1AF08222">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本专业强调学生掌握扎实的数学基础、统计学方法与理论知识、计算集编程能力以及人工智能AI知识，全方位地培养学生的统计分析的方法和能力。同时积极拓宽学生的知识广度，有针对性地开设跨学科选修课，并多角度培养学生的科研兴趣，介绍统计学、大数据以及人工智能领域研究中的最新前沿和发展趋势。</w:t>
      </w:r>
    </w:p>
    <w:p w14:paraId="17BD114B">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（三）专业能力与综合素质</w:t>
      </w:r>
    </w:p>
    <w:p w14:paraId="4B4D33E6">
      <w:pPr>
        <w:pageBreakBefore w:val="0"/>
        <w:kinsoku/>
        <w:wordWrap/>
        <w:overflowPunct/>
        <w:topLinePunct w:val="0"/>
        <w:autoSpaceDE/>
        <w:autoSpaceDN/>
        <w:bidi w:val="0"/>
        <w:snapToGrid/>
        <w:ind w:firstLine="420" w:firstLineChars="200"/>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既具有扎实的数理基础，又富有跨学科创新意识的复合型人才。通过专业课程和通识课程的系统学习，打下深厚的数理基础，融合经济学与金融学理论，培养良好的道德素质、科学文化素质和专业素质。具备良好的沟通能力和团队协作能力，能够与不同背景的人员有效沟通和合作，共同完成项目任务。鼓励学生有梦想、敢实践，走出课堂、走出校园、根植社会，在未来统计学研究与应用领域中有所建树，成长为统计专业学术精英和创新型人才，投身国家的科技发展与经济建设并做出巨大贡献。</w:t>
      </w:r>
    </w:p>
    <w:p w14:paraId="71B4E95B">
      <w:pPr>
        <w:keepNext w:val="0"/>
        <w:keepLines w:val="0"/>
        <w:pageBreakBefore w:val="0"/>
        <w:widowControl w:val="0"/>
        <w:numPr>
          <w:ilvl w:val="0"/>
          <w:numId w:val="2"/>
        </w:numPr>
        <w:kinsoku/>
        <w:wordWrap/>
        <w:overflowPunct/>
        <w:topLinePunct w:val="0"/>
        <w:autoSpaceDE/>
        <w:autoSpaceDN/>
        <w:bidi w:val="0"/>
        <w:adjustRightInd w:val="0"/>
        <w:snapToGrid/>
        <w:ind w:firstLine="420" w:firstLineChars="200"/>
        <w:textAlignment w:val="auto"/>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实践应用与创新精神</w:t>
      </w:r>
    </w:p>
    <w:p w14:paraId="099F1450">
      <w:pPr>
        <w:keepNext w:val="0"/>
        <w:keepLines w:val="0"/>
        <w:pageBreakBefore w:val="0"/>
        <w:widowControl w:val="0"/>
        <w:numPr>
          <w:ilvl w:val="0"/>
          <w:numId w:val="0"/>
        </w:numPr>
        <w:kinsoku/>
        <w:wordWrap/>
        <w:overflowPunct/>
        <w:topLinePunct w:val="0"/>
        <w:autoSpaceDE/>
        <w:autoSpaceDN/>
        <w:bidi w:val="0"/>
        <w:adjustRightInd w:val="0"/>
        <w:snapToGrid/>
        <w:ind w:firstLine="420" w:firstLineChars="200"/>
        <w:textAlignment w:val="auto"/>
        <w:outlineLvl w:val="9"/>
        <w:rPr>
          <w:rFonts w:hint="eastAsia" w:ascii="华文中宋" w:hAnsi="华文中宋" w:eastAsia="华文中宋" w:cs="华文中宋"/>
          <w:color w:val="auto"/>
          <w:szCs w:val="21"/>
        </w:rPr>
      </w:pPr>
      <w:r>
        <w:rPr>
          <w:rFonts w:hint="eastAsia" w:ascii="华文中宋" w:hAnsi="华文中宋" w:eastAsia="华文中宋" w:cs="华文中宋"/>
          <w:color w:val="auto"/>
          <w:szCs w:val="21"/>
        </w:rPr>
        <w:t>具备创新精神与研究潜力，能够从理论或应用中发现有价值、有挑战性的科学问题，敢于挑战现有理论和方法，积极探索新的思路、模型或算法，在课程研究、科研训练或毕业论文中展现出改进现有方法或提出新颖见解的潜力。同时，能够灵活运用所学知识解决生物医学、金融、工业等领域的实际数据分析问题，理解不同应用场景对统计方法选择的考量。</w:t>
      </w:r>
    </w:p>
    <w:p w14:paraId="5B4EDEBE">
      <w:pPr>
        <w:pageBreakBefore w:val="0"/>
        <w:widowControl/>
        <w:numPr>
          <w:ilvl w:val="0"/>
          <w:numId w:val="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left"/>
        <w:outlineLvl w:val="9"/>
        <w:rPr>
          <w:rFonts w:hint="eastAsia" w:ascii="华文中宋" w:hAnsi="华文中宋" w:eastAsia="华文中宋" w:cs="华文中宋"/>
          <w:color w:val="auto"/>
          <w:kern w:val="0"/>
          <w:szCs w:val="21"/>
          <w:lang w:val="zh-CN"/>
        </w:rPr>
      </w:pPr>
    </w:p>
    <w:p w14:paraId="36DAE6D4">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培养计划</w:t>
      </w:r>
    </w:p>
    <w:p w14:paraId="06D61B7A">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I、</w:t>
      </w:r>
      <w:r>
        <w:rPr>
          <w:b/>
          <w:bCs/>
          <w:color w:val="auto"/>
          <w:szCs w:val="21"/>
        </w:rPr>
        <w:t xml:space="preserve">课程设置与修读要求 : </w:t>
      </w:r>
    </w:p>
    <w:p w14:paraId="5EE8BD3C">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（一）通识教育模块（46学分）</w:t>
      </w:r>
    </w:p>
    <w:p w14:paraId="21B07D31">
      <w:pPr>
        <w:pageBreakBefore w:val="0"/>
        <w:kinsoku/>
        <w:wordWrap/>
        <w:overflowPunct/>
        <w:topLinePunct w:val="0"/>
        <w:autoSpaceDE/>
        <w:autoSpaceDN/>
        <w:bidi w:val="0"/>
        <w:snapToGrid/>
        <w:ind w:firstLine="420" w:firstLineChars="200"/>
        <w:outlineLvl w:val="9"/>
        <w:rPr>
          <w:color w:val="auto"/>
          <w:szCs w:val="21"/>
        </w:rPr>
      </w:pPr>
      <w:r>
        <w:rPr>
          <w:color w:val="auto"/>
          <w:szCs w:val="21"/>
        </w:rPr>
        <w:t>通识教育</w:t>
      </w:r>
      <w:r>
        <w:rPr>
          <w:rFonts w:hint="eastAsia"/>
          <w:color w:val="auto"/>
          <w:szCs w:val="21"/>
        </w:rPr>
        <w:t>模块</w:t>
      </w:r>
      <w:r>
        <w:rPr>
          <w:color w:val="auto"/>
          <w:szCs w:val="21"/>
        </w:rPr>
        <w:t>包括</w:t>
      </w:r>
      <w:r>
        <w:rPr>
          <w:rFonts w:hint="eastAsia"/>
          <w:color w:val="auto"/>
          <w:szCs w:val="21"/>
        </w:rPr>
        <w:t>通识教育核心课程</w:t>
      </w:r>
      <w:r>
        <w:rPr>
          <w:color w:val="auto"/>
          <w:szCs w:val="21"/>
        </w:rPr>
        <w:t xml:space="preserve">和专项教育课程。 </w:t>
      </w:r>
    </w:p>
    <w:p w14:paraId="0ABF84D7">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1.通识教育核心课程（23学分）</w:t>
      </w:r>
    </w:p>
    <w:p w14:paraId="7057DCE2">
      <w:pPr>
        <w:pageBreakBefore w:val="0"/>
        <w:kinsoku/>
        <w:wordWrap/>
        <w:overflowPunct/>
        <w:topLinePunct w:val="0"/>
        <w:autoSpaceDE/>
        <w:autoSpaceDN/>
        <w:bidi w:val="0"/>
        <w:snapToGrid/>
        <w:ind w:firstLine="420" w:firstLineChars="200"/>
        <w:outlineLvl w:val="9"/>
        <w:rPr>
          <w:rFonts w:asciiTheme="minorHAnsi" w:hAnsiTheme="minorHAnsi" w:eastAsiaTheme="minorEastAsia" w:cstheme="minorBidi"/>
          <w:color w:val="auto"/>
          <w:szCs w:val="21"/>
        </w:rPr>
      </w:pPr>
      <w:r>
        <w:rPr>
          <w:color w:val="auto"/>
          <w:szCs w:val="21"/>
        </w:rPr>
        <w:t>要求修读 2</w:t>
      </w:r>
      <w:r>
        <w:rPr>
          <w:rFonts w:hint="eastAsia"/>
          <w:color w:val="auto"/>
          <w:szCs w:val="21"/>
        </w:rPr>
        <w:t>3</w:t>
      </w:r>
      <w:r>
        <w:rPr>
          <w:color w:val="auto"/>
          <w:szCs w:val="21"/>
        </w:rPr>
        <w:t xml:space="preserve"> 学分，含思想政治理论课 1</w:t>
      </w:r>
      <w:r>
        <w:rPr>
          <w:rFonts w:hint="eastAsia"/>
          <w:color w:val="auto"/>
          <w:szCs w:val="21"/>
        </w:rPr>
        <w:t>5</w:t>
      </w:r>
      <w:r>
        <w:rPr>
          <w:color w:val="auto"/>
          <w:szCs w:val="21"/>
        </w:rPr>
        <w:t xml:space="preserve"> 学分，</w:t>
      </w:r>
      <w:r>
        <w:rPr>
          <w:rFonts w:hint="eastAsia"/>
          <w:color w:val="auto"/>
          <w:szCs w:val="21"/>
        </w:rPr>
        <w:t>通识限选</w:t>
      </w:r>
      <w:r>
        <w:rPr>
          <w:color w:val="auto"/>
          <w:szCs w:val="21"/>
        </w:rPr>
        <w:t>七大模块课程</w:t>
      </w:r>
      <w:r>
        <w:rPr>
          <w:rFonts w:hint="eastAsia"/>
          <w:color w:val="auto"/>
          <w:szCs w:val="21"/>
        </w:rPr>
        <w:t>8</w:t>
      </w:r>
      <w:r>
        <w:rPr>
          <w:color w:val="auto"/>
          <w:szCs w:val="21"/>
        </w:rPr>
        <w:t>学分（</w:t>
      </w:r>
      <w:r>
        <w:rPr>
          <w:rFonts w:hint="eastAsia"/>
          <w:color w:val="auto"/>
          <w:szCs w:val="21"/>
        </w:rPr>
        <w:t>七个模块中任选四个修读</w:t>
      </w:r>
      <w:r>
        <w:rPr>
          <w:color w:val="auto"/>
          <w:szCs w:val="21"/>
        </w:rPr>
        <w:t>），</w:t>
      </w:r>
      <w:r>
        <w:rPr>
          <w:rFonts w:hint="eastAsia"/>
          <w:color w:val="auto"/>
          <w:szCs w:val="21"/>
        </w:rPr>
        <w:t>具体要求</w:t>
      </w:r>
      <w:r>
        <w:rPr>
          <w:color w:val="auto"/>
          <w:szCs w:val="21"/>
        </w:rPr>
        <w:t>详见通识限选七大模块课程培养方案</w:t>
      </w:r>
      <w:r>
        <w:rPr>
          <w:rFonts w:hint="eastAsia"/>
          <w:color w:val="auto"/>
          <w:szCs w:val="21"/>
        </w:rPr>
        <w:t>和本</w:t>
      </w:r>
      <w:r>
        <w:rPr>
          <w:color w:val="auto"/>
          <w:szCs w:val="21"/>
        </w:rPr>
        <w:t xml:space="preserve">专业修读建议。 </w:t>
      </w:r>
    </w:p>
    <w:p w14:paraId="75C1AD74">
      <w:pPr>
        <w:pageBreakBefore w:val="0"/>
        <w:kinsoku/>
        <w:wordWrap/>
        <w:overflowPunct/>
        <w:topLinePunct w:val="0"/>
        <w:autoSpaceDE/>
        <w:autoSpaceDN/>
        <w:bidi w:val="0"/>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2.</w:t>
      </w:r>
      <w:r>
        <w:rPr>
          <w:rFonts w:hint="eastAsia"/>
          <w:b/>
          <w:bCs/>
          <w:color w:val="auto"/>
          <w:szCs w:val="21"/>
        </w:rPr>
        <w:t>专项教育课程（23学分）</w:t>
      </w:r>
    </w:p>
    <w:p w14:paraId="222835CD">
      <w:pPr>
        <w:pageBreakBefore w:val="0"/>
        <w:kinsoku/>
        <w:wordWrap/>
        <w:overflowPunct/>
        <w:topLinePunct w:val="0"/>
        <w:autoSpaceDE/>
        <w:autoSpaceDN/>
        <w:bidi w:val="0"/>
        <w:snapToGrid/>
        <w:ind w:firstLine="420" w:firstLineChars="200"/>
        <w:outlineLvl w:val="9"/>
        <w:rPr>
          <w:color w:val="auto"/>
          <w:szCs w:val="21"/>
        </w:rPr>
      </w:pPr>
      <w:r>
        <w:rPr>
          <w:color w:val="auto"/>
          <w:szCs w:val="21"/>
        </w:rPr>
        <w:t>要求修读</w:t>
      </w:r>
      <w:r>
        <w:rPr>
          <w:rFonts w:hint="eastAsia"/>
          <w:color w:val="auto"/>
          <w:szCs w:val="21"/>
        </w:rPr>
        <w:t>23</w:t>
      </w:r>
      <w:r>
        <w:rPr>
          <w:color w:val="auto"/>
          <w:szCs w:val="21"/>
        </w:rPr>
        <w:t>学分，</w:t>
      </w:r>
      <w:r>
        <w:rPr>
          <w:rFonts w:hint="eastAsia"/>
          <w:color w:val="auto"/>
          <w:szCs w:val="21"/>
        </w:rPr>
        <w:t>具体要求</w:t>
      </w:r>
      <w:r>
        <w:rPr>
          <w:color w:val="auto"/>
          <w:szCs w:val="21"/>
        </w:rPr>
        <w:t>详见</w:t>
      </w:r>
      <w:r>
        <w:rPr>
          <w:rFonts w:hint="eastAsia"/>
          <w:color w:val="auto"/>
          <w:szCs w:val="21"/>
        </w:rPr>
        <w:t>各</w:t>
      </w:r>
      <w:r>
        <w:rPr>
          <w:color w:val="auto"/>
          <w:szCs w:val="21"/>
        </w:rPr>
        <w:t>专项教育</w:t>
      </w:r>
      <w:r>
        <w:rPr>
          <w:rFonts w:hint="eastAsia"/>
          <w:color w:val="auto"/>
          <w:szCs w:val="21"/>
        </w:rPr>
        <w:t>培养方案和本</w:t>
      </w:r>
      <w:r>
        <w:rPr>
          <w:color w:val="auto"/>
          <w:szCs w:val="21"/>
        </w:rPr>
        <w:t xml:space="preserve">专业修读建议。 </w:t>
      </w:r>
    </w:p>
    <w:p w14:paraId="7BA4BA48">
      <w:pPr>
        <w:pageBreakBefore w:val="0"/>
        <w:kinsoku/>
        <w:wordWrap/>
        <w:overflowPunct/>
        <w:topLinePunct w:val="0"/>
        <w:autoSpaceDE/>
        <w:autoSpaceDN/>
        <w:bidi w:val="0"/>
        <w:snapToGrid/>
        <w:ind w:firstLine="420" w:firstLineChars="200"/>
        <w:outlineLvl w:val="9"/>
        <w:rPr>
          <w:color w:val="auto"/>
          <w:szCs w:val="21"/>
        </w:rPr>
      </w:pPr>
    </w:p>
    <w:p w14:paraId="798B60ED">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（二）专业培养模块 （60学分）</w:t>
      </w:r>
    </w:p>
    <w:p w14:paraId="73125F34">
      <w:pPr>
        <w:pageBreakBefore w:val="0"/>
        <w:kinsoku/>
        <w:wordWrap/>
        <w:overflowPunct/>
        <w:topLinePunct w:val="0"/>
        <w:autoSpaceDE/>
        <w:autoSpaceDN/>
        <w:bidi w:val="0"/>
        <w:snapToGrid/>
        <w:ind w:firstLine="420" w:firstLineChars="200"/>
        <w:outlineLvl w:val="9"/>
        <w:rPr>
          <w:color w:val="auto"/>
          <w:szCs w:val="21"/>
        </w:rPr>
      </w:pPr>
      <w:r>
        <w:rPr>
          <w:color w:val="auto"/>
          <w:szCs w:val="21"/>
        </w:rPr>
        <w:t>专业培养</w:t>
      </w:r>
      <w:r>
        <w:rPr>
          <w:rFonts w:hint="eastAsia"/>
          <w:color w:val="auto"/>
          <w:szCs w:val="21"/>
        </w:rPr>
        <w:t>模块</w:t>
      </w:r>
      <w:r>
        <w:rPr>
          <w:color w:val="auto"/>
          <w:szCs w:val="21"/>
        </w:rPr>
        <w:t>包括</w:t>
      </w:r>
      <w:r>
        <w:rPr>
          <w:rFonts w:hint="eastAsia"/>
          <w:color w:val="auto"/>
          <w:szCs w:val="21"/>
        </w:rPr>
        <w:t>学科共同</w:t>
      </w:r>
      <w:r>
        <w:rPr>
          <w:color w:val="auto"/>
          <w:szCs w:val="21"/>
        </w:rPr>
        <w:t>课和专业</w:t>
      </w:r>
      <w:r>
        <w:rPr>
          <w:rFonts w:hint="eastAsia"/>
          <w:color w:val="auto"/>
          <w:szCs w:val="21"/>
        </w:rPr>
        <w:t>基础</w:t>
      </w:r>
      <w:r>
        <w:rPr>
          <w:color w:val="auto"/>
          <w:szCs w:val="21"/>
        </w:rPr>
        <w:t xml:space="preserve">课。 </w:t>
      </w:r>
    </w:p>
    <w:p w14:paraId="22DB3884">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1.学科共同课（32学分）</w:t>
      </w:r>
    </w:p>
    <w:p w14:paraId="4F13E5B6">
      <w:pPr>
        <w:pageBreakBefore w:val="0"/>
        <w:kinsoku/>
        <w:wordWrap/>
        <w:overflowPunct/>
        <w:topLinePunct w:val="0"/>
        <w:autoSpaceDE/>
        <w:autoSpaceDN/>
        <w:bidi w:val="0"/>
        <w:snapToGrid/>
        <w:ind w:firstLine="420" w:firstLineChars="200"/>
        <w:outlineLvl w:val="9"/>
        <w:rPr>
          <w:color w:val="auto"/>
          <w:szCs w:val="21"/>
        </w:rPr>
      </w:pPr>
      <w:r>
        <w:rPr>
          <w:color w:val="auto"/>
          <w:szCs w:val="21"/>
        </w:rPr>
        <w:t>课程设置</w:t>
      </w:r>
      <w:r>
        <w:rPr>
          <w:rFonts w:hint="eastAsia"/>
          <w:color w:val="auto"/>
          <w:szCs w:val="21"/>
        </w:rPr>
        <w:t>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860"/>
        <w:gridCol w:w="825"/>
        <w:gridCol w:w="1158"/>
        <w:gridCol w:w="717"/>
      </w:tblGrid>
      <w:tr w14:paraId="507C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4960551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860" w:type="dxa"/>
            <w:vAlign w:val="center"/>
          </w:tcPr>
          <w:p w14:paraId="0FACB191">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825" w:type="dxa"/>
            <w:vAlign w:val="center"/>
          </w:tcPr>
          <w:p w14:paraId="6F24BE3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58" w:type="dxa"/>
            <w:vAlign w:val="center"/>
          </w:tcPr>
          <w:p w14:paraId="6FA2738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46373F1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5D74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309926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bookmarkStart w:id="2" w:name="OLE_LINK35" w:colFirst="2" w:colLast="2"/>
            <w:bookmarkStart w:id="3" w:name="OLE_LINK34" w:colFirst="0" w:colLast="0"/>
            <w:r>
              <w:rPr>
                <w:rFonts w:hint="eastAsia" w:ascii="等线" w:hAnsi="等线" w:eastAsia="等线" w:cs="等线"/>
                <w:color w:val="auto"/>
                <w:kern w:val="0"/>
                <w:sz w:val="18"/>
                <w:szCs w:val="18"/>
                <w:lang w:bidi="ar"/>
              </w:rPr>
              <w:t>数学分析I</w:t>
            </w:r>
          </w:p>
        </w:tc>
        <w:tc>
          <w:tcPr>
            <w:tcW w:w="1860" w:type="dxa"/>
            <w:shd w:val="clear" w:color="auto" w:fill="auto"/>
            <w:vAlign w:val="center"/>
          </w:tcPr>
          <w:p w14:paraId="61434D5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100693</w:t>
            </w:r>
          </w:p>
        </w:tc>
        <w:tc>
          <w:tcPr>
            <w:tcW w:w="825" w:type="dxa"/>
            <w:shd w:val="clear" w:color="auto" w:fill="auto"/>
            <w:vAlign w:val="center"/>
          </w:tcPr>
          <w:p w14:paraId="6DFBECF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1158" w:type="dxa"/>
            <w:shd w:val="clear" w:color="auto" w:fill="auto"/>
            <w:vAlign w:val="center"/>
          </w:tcPr>
          <w:p w14:paraId="74BE5CB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717" w:type="dxa"/>
            <w:vMerge w:val="restart"/>
            <w:shd w:val="clear" w:color="auto" w:fill="auto"/>
            <w:vAlign w:val="center"/>
          </w:tcPr>
          <w:p w14:paraId="45F830CC">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必修</w:t>
            </w:r>
          </w:p>
        </w:tc>
      </w:tr>
      <w:tr w14:paraId="3CBA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971309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数学分析II</w:t>
            </w:r>
          </w:p>
        </w:tc>
        <w:tc>
          <w:tcPr>
            <w:tcW w:w="1860" w:type="dxa"/>
            <w:shd w:val="clear" w:color="auto" w:fill="auto"/>
            <w:vAlign w:val="center"/>
          </w:tcPr>
          <w:p w14:paraId="3661075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105308</w:t>
            </w:r>
          </w:p>
        </w:tc>
        <w:tc>
          <w:tcPr>
            <w:tcW w:w="825" w:type="dxa"/>
            <w:shd w:val="clear" w:color="auto" w:fill="auto"/>
            <w:vAlign w:val="center"/>
          </w:tcPr>
          <w:p w14:paraId="436448B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1158" w:type="dxa"/>
            <w:shd w:val="clear" w:color="auto" w:fill="auto"/>
            <w:vAlign w:val="center"/>
          </w:tcPr>
          <w:p w14:paraId="7946445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tcPr>
          <w:p w14:paraId="17B959E3">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DB6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96401A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数学分析III</w:t>
            </w:r>
          </w:p>
        </w:tc>
        <w:tc>
          <w:tcPr>
            <w:tcW w:w="1860" w:type="dxa"/>
            <w:shd w:val="clear" w:color="auto" w:fill="auto"/>
            <w:vAlign w:val="center"/>
          </w:tcPr>
          <w:p w14:paraId="1CA03F0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105309</w:t>
            </w:r>
          </w:p>
        </w:tc>
        <w:tc>
          <w:tcPr>
            <w:tcW w:w="825" w:type="dxa"/>
            <w:shd w:val="clear" w:color="auto" w:fill="auto"/>
            <w:vAlign w:val="center"/>
          </w:tcPr>
          <w:p w14:paraId="4A9DF35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1158" w:type="dxa"/>
            <w:shd w:val="clear" w:color="auto" w:fill="auto"/>
            <w:vAlign w:val="center"/>
          </w:tcPr>
          <w:p w14:paraId="288C17C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717" w:type="dxa"/>
            <w:vMerge w:val="continue"/>
            <w:shd w:val="clear" w:color="auto" w:fill="auto"/>
          </w:tcPr>
          <w:p w14:paraId="21784332">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7662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339987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概率论</w:t>
            </w:r>
          </w:p>
        </w:tc>
        <w:tc>
          <w:tcPr>
            <w:tcW w:w="1860" w:type="dxa"/>
            <w:shd w:val="clear" w:color="auto" w:fill="auto"/>
            <w:vAlign w:val="center"/>
          </w:tcPr>
          <w:p w14:paraId="539BAD0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105490</w:t>
            </w:r>
          </w:p>
        </w:tc>
        <w:tc>
          <w:tcPr>
            <w:tcW w:w="825" w:type="dxa"/>
            <w:shd w:val="clear" w:color="auto" w:fill="auto"/>
            <w:vAlign w:val="center"/>
          </w:tcPr>
          <w:p w14:paraId="1649D98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1158" w:type="dxa"/>
            <w:shd w:val="clear" w:color="auto" w:fill="auto"/>
            <w:vAlign w:val="center"/>
          </w:tcPr>
          <w:p w14:paraId="2A2B2E2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5595FEF5">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F27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993C5B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数理统计(基地班)</w:t>
            </w:r>
          </w:p>
        </w:tc>
        <w:tc>
          <w:tcPr>
            <w:tcW w:w="1860" w:type="dxa"/>
            <w:shd w:val="clear" w:color="auto" w:fill="auto"/>
            <w:vAlign w:val="center"/>
          </w:tcPr>
          <w:p w14:paraId="4515977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107475</w:t>
            </w:r>
          </w:p>
        </w:tc>
        <w:tc>
          <w:tcPr>
            <w:tcW w:w="825" w:type="dxa"/>
            <w:shd w:val="clear" w:color="auto" w:fill="auto"/>
            <w:vAlign w:val="center"/>
          </w:tcPr>
          <w:p w14:paraId="685F6AD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2F93B5E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717" w:type="dxa"/>
            <w:vMerge w:val="continue"/>
            <w:shd w:val="clear" w:color="auto" w:fill="auto"/>
            <w:vAlign w:val="center"/>
          </w:tcPr>
          <w:p w14:paraId="50B6C81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2D6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BB9A00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计算机编程</w:t>
            </w:r>
          </w:p>
        </w:tc>
        <w:tc>
          <w:tcPr>
            <w:tcW w:w="1860" w:type="dxa"/>
            <w:shd w:val="clear" w:color="auto" w:fill="auto"/>
            <w:vAlign w:val="center"/>
          </w:tcPr>
          <w:p w14:paraId="4B3D3B4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101828</w:t>
            </w:r>
          </w:p>
        </w:tc>
        <w:tc>
          <w:tcPr>
            <w:tcW w:w="825" w:type="dxa"/>
            <w:shd w:val="clear" w:color="auto" w:fill="auto"/>
            <w:vAlign w:val="center"/>
          </w:tcPr>
          <w:p w14:paraId="0718140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41C5D08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vAlign w:val="center"/>
          </w:tcPr>
          <w:p w14:paraId="5CDC848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D61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ECC310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高等代数I</w:t>
            </w:r>
          </w:p>
        </w:tc>
        <w:tc>
          <w:tcPr>
            <w:tcW w:w="1860" w:type="dxa"/>
            <w:shd w:val="clear" w:color="auto" w:fill="auto"/>
            <w:vAlign w:val="center"/>
          </w:tcPr>
          <w:p w14:paraId="3A8277C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103298</w:t>
            </w:r>
          </w:p>
        </w:tc>
        <w:tc>
          <w:tcPr>
            <w:tcW w:w="825" w:type="dxa"/>
            <w:shd w:val="clear" w:color="auto" w:fill="auto"/>
            <w:vAlign w:val="center"/>
          </w:tcPr>
          <w:p w14:paraId="3A39955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4E21E23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717" w:type="dxa"/>
            <w:vMerge w:val="continue"/>
            <w:shd w:val="clear" w:color="auto" w:fill="auto"/>
            <w:vAlign w:val="center"/>
          </w:tcPr>
          <w:p w14:paraId="04F16FF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6202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4C2008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高等代数II</w:t>
            </w:r>
          </w:p>
        </w:tc>
        <w:tc>
          <w:tcPr>
            <w:tcW w:w="1860" w:type="dxa"/>
            <w:shd w:val="clear" w:color="auto" w:fill="auto"/>
            <w:vAlign w:val="center"/>
          </w:tcPr>
          <w:p w14:paraId="319A81A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103299</w:t>
            </w:r>
          </w:p>
        </w:tc>
        <w:tc>
          <w:tcPr>
            <w:tcW w:w="825" w:type="dxa"/>
            <w:shd w:val="clear" w:color="auto" w:fill="auto"/>
            <w:vAlign w:val="center"/>
          </w:tcPr>
          <w:p w14:paraId="0F6C91E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5326012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vAlign w:val="center"/>
          </w:tcPr>
          <w:p w14:paraId="74079593">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bookmarkEnd w:id="2"/>
      <w:bookmarkEnd w:id="3"/>
    </w:tbl>
    <w:p w14:paraId="07F0B314">
      <w:pPr>
        <w:pageBreakBefore w:val="0"/>
        <w:kinsoku/>
        <w:wordWrap/>
        <w:overflowPunct/>
        <w:topLinePunct w:val="0"/>
        <w:autoSpaceDE/>
        <w:autoSpaceDN/>
        <w:bidi w:val="0"/>
        <w:snapToGrid/>
        <w:outlineLvl w:val="9"/>
        <w:rPr>
          <w:color w:val="auto"/>
          <w:szCs w:val="21"/>
        </w:rPr>
      </w:pPr>
    </w:p>
    <w:p w14:paraId="3812C2CF">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2.专业基础课（28 学分）</w:t>
      </w:r>
    </w:p>
    <w:p w14:paraId="42C8500C">
      <w:pPr>
        <w:pageBreakBefore w:val="0"/>
        <w:kinsoku/>
        <w:wordWrap/>
        <w:overflowPunct/>
        <w:topLinePunct w:val="0"/>
        <w:autoSpaceDE/>
        <w:autoSpaceDN/>
        <w:bidi w:val="0"/>
        <w:snapToGrid/>
        <w:ind w:firstLine="420" w:firstLineChars="200"/>
        <w:outlineLvl w:val="9"/>
        <w:rPr>
          <w:color w:val="auto"/>
          <w:szCs w:val="21"/>
        </w:rPr>
      </w:pPr>
      <w:r>
        <w:rPr>
          <w:rFonts w:hint="eastAsia"/>
          <w:color w:val="auto"/>
          <w:szCs w:val="21"/>
        </w:rPr>
        <w:t>课程</w:t>
      </w:r>
      <w:r>
        <w:rPr>
          <w:color w:val="auto"/>
          <w:szCs w:val="21"/>
        </w:rPr>
        <w:t>设置如下：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875"/>
        <w:gridCol w:w="810"/>
        <w:gridCol w:w="1158"/>
        <w:gridCol w:w="717"/>
      </w:tblGrid>
      <w:tr w14:paraId="0236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19B3B5D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875" w:type="dxa"/>
            <w:vAlign w:val="center"/>
          </w:tcPr>
          <w:p w14:paraId="1E5334D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810" w:type="dxa"/>
            <w:vAlign w:val="center"/>
          </w:tcPr>
          <w:p w14:paraId="791F307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58" w:type="dxa"/>
            <w:vAlign w:val="center"/>
          </w:tcPr>
          <w:p w14:paraId="3C931195">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71165E9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456A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5C6EC5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2"/>
                <w:rFonts w:hint="default"/>
                <w:color w:val="auto"/>
                <w:lang w:bidi="ar"/>
              </w:rPr>
              <w:t>机器学习</w:t>
            </w:r>
          </w:p>
        </w:tc>
        <w:tc>
          <w:tcPr>
            <w:tcW w:w="1875" w:type="dxa"/>
            <w:shd w:val="clear" w:color="auto" w:fill="auto"/>
            <w:vAlign w:val="center"/>
          </w:tcPr>
          <w:p w14:paraId="3B65CC2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102689</w:t>
            </w:r>
          </w:p>
        </w:tc>
        <w:tc>
          <w:tcPr>
            <w:tcW w:w="810" w:type="dxa"/>
            <w:shd w:val="clear" w:color="auto" w:fill="auto"/>
            <w:vAlign w:val="center"/>
          </w:tcPr>
          <w:p w14:paraId="4B56D3E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5D0B226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5</w:t>
            </w:r>
          </w:p>
        </w:tc>
        <w:tc>
          <w:tcPr>
            <w:tcW w:w="717" w:type="dxa"/>
            <w:vMerge w:val="restart"/>
            <w:shd w:val="clear" w:color="auto" w:fill="auto"/>
            <w:vAlign w:val="center"/>
          </w:tcPr>
          <w:p w14:paraId="0F337DB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必修</w:t>
            </w:r>
          </w:p>
        </w:tc>
      </w:tr>
      <w:tr w14:paraId="55E0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D583A7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深度学习</w:t>
            </w:r>
          </w:p>
        </w:tc>
        <w:tc>
          <w:tcPr>
            <w:tcW w:w="1875" w:type="dxa"/>
            <w:shd w:val="clear" w:color="auto" w:fill="auto"/>
            <w:vAlign w:val="center"/>
          </w:tcPr>
          <w:p w14:paraId="2CC8064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105503</w:t>
            </w:r>
          </w:p>
        </w:tc>
        <w:tc>
          <w:tcPr>
            <w:tcW w:w="810" w:type="dxa"/>
            <w:shd w:val="clear" w:color="auto" w:fill="auto"/>
            <w:vAlign w:val="center"/>
          </w:tcPr>
          <w:p w14:paraId="10A6A9B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64C9A0F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717" w:type="dxa"/>
            <w:vMerge w:val="continue"/>
            <w:shd w:val="clear" w:color="auto" w:fill="auto"/>
          </w:tcPr>
          <w:p w14:paraId="26318C4F">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54DA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168683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2"/>
                <w:rFonts w:hint="default"/>
                <w:color w:val="auto"/>
                <w:lang w:bidi="ar"/>
              </w:rPr>
              <w:t>时间序列分析</w:t>
            </w:r>
          </w:p>
        </w:tc>
        <w:tc>
          <w:tcPr>
            <w:tcW w:w="1875" w:type="dxa"/>
            <w:shd w:val="clear" w:color="auto" w:fill="auto"/>
            <w:vAlign w:val="center"/>
          </w:tcPr>
          <w:p w14:paraId="3D7311B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103237</w:t>
            </w:r>
          </w:p>
        </w:tc>
        <w:tc>
          <w:tcPr>
            <w:tcW w:w="810" w:type="dxa"/>
            <w:shd w:val="clear" w:color="auto" w:fill="auto"/>
            <w:vAlign w:val="center"/>
          </w:tcPr>
          <w:p w14:paraId="027BB6D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5F21CDF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717" w:type="dxa"/>
            <w:vMerge w:val="continue"/>
            <w:shd w:val="clear" w:color="auto" w:fill="auto"/>
          </w:tcPr>
          <w:p w14:paraId="2EE651BF">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35D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D4BEA6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2"/>
                <w:rFonts w:hint="default"/>
                <w:color w:val="auto"/>
                <w:lang w:bidi="ar"/>
              </w:rPr>
              <w:t>非参数统计</w:t>
            </w:r>
          </w:p>
        </w:tc>
        <w:tc>
          <w:tcPr>
            <w:tcW w:w="1875" w:type="dxa"/>
            <w:shd w:val="clear" w:color="auto" w:fill="auto"/>
            <w:vAlign w:val="center"/>
          </w:tcPr>
          <w:p w14:paraId="146C670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103294</w:t>
            </w:r>
          </w:p>
        </w:tc>
        <w:tc>
          <w:tcPr>
            <w:tcW w:w="810" w:type="dxa"/>
            <w:shd w:val="clear" w:color="auto" w:fill="auto"/>
            <w:vAlign w:val="center"/>
          </w:tcPr>
          <w:p w14:paraId="1DBA64A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12B4D32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717" w:type="dxa"/>
            <w:vMerge w:val="continue"/>
            <w:shd w:val="clear" w:color="auto" w:fill="auto"/>
            <w:vAlign w:val="center"/>
          </w:tcPr>
          <w:p w14:paraId="3E147F1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517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1F10F6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2"/>
                <w:rFonts w:hint="default"/>
                <w:color w:val="auto"/>
                <w:lang w:bidi="ar"/>
              </w:rPr>
              <w:t>多元统计分析</w:t>
            </w:r>
          </w:p>
        </w:tc>
        <w:tc>
          <w:tcPr>
            <w:tcW w:w="1875" w:type="dxa"/>
            <w:shd w:val="clear" w:color="auto" w:fill="auto"/>
            <w:vAlign w:val="center"/>
          </w:tcPr>
          <w:p w14:paraId="37E87AF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103322</w:t>
            </w:r>
          </w:p>
        </w:tc>
        <w:tc>
          <w:tcPr>
            <w:tcW w:w="810" w:type="dxa"/>
            <w:shd w:val="clear" w:color="auto" w:fill="auto"/>
            <w:vAlign w:val="center"/>
          </w:tcPr>
          <w:p w14:paraId="6CC3524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1C38CFE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717" w:type="dxa"/>
            <w:vMerge w:val="continue"/>
            <w:shd w:val="clear" w:color="auto" w:fill="auto"/>
            <w:vAlign w:val="center"/>
          </w:tcPr>
          <w:p w14:paraId="4A8D984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4B47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D011298">
            <w:pPr>
              <w:pageBreakBefore w:val="0"/>
              <w:widowControl/>
              <w:kinsoku/>
              <w:wordWrap/>
              <w:overflowPunct/>
              <w:topLinePunct w:val="0"/>
              <w:autoSpaceDE/>
              <w:autoSpaceDN/>
              <w:bidi w:val="0"/>
              <w:snapToGrid/>
              <w:jc w:val="center"/>
              <w:textAlignment w:val="center"/>
              <w:outlineLvl w:val="9"/>
              <w:rPr>
                <w:rStyle w:val="22"/>
                <w:rFonts w:hint="eastAsia"/>
                <w:color w:val="auto"/>
                <w:lang w:eastAsia="zh-CN" w:bidi="ar"/>
              </w:rPr>
            </w:pPr>
            <w:r>
              <w:rPr>
                <w:rStyle w:val="22"/>
                <w:rFonts w:hint="eastAsia"/>
                <w:color w:val="auto"/>
                <w:lang w:val="en-US" w:eastAsia="zh-CN" w:bidi="ar"/>
              </w:rPr>
              <w:t>实变函数</w:t>
            </w:r>
          </w:p>
        </w:tc>
        <w:tc>
          <w:tcPr>
            <w:tcW w:w="1875" w:type="dxa"/>
            <w:shd w:val="clear" w:color="auto" w:fill="auto"/>
            <w:vAlign w:val="center"/>
          </w:tcPr>
          <w:p w14:paraId="5D334428">
            <w:pPr>
              <w:pageBreakBefore w:val="0"/>
              <w:widowControl/>
              <w:kinsoku/>
              <w:wordWrap/>
              <w:overflowPunct/>
              <w:topLinePunct w:val="0"/>
              <w:autoSpaceDE/>
              <w:autoSpaceDN/>
              <w:bidi w:val="0"/>
              <w:snapToGrid/>
              <w:jc w:val="center"/>
              <w:textAlignment w:val="center"/>
              <w:outlineLvl w:val="9"/>
              <w:rPr>
                <w:rStyle w:val="22"/>
                <w:rFonts w:hint="default"/>
                <w:color w:val="auto"/>
                <w:lang w:val="en-US" w:eastAsia="zh-CN" w:bidi="ar"/>
              </w:rPr>
            </w:pPr>
            <w:r>
              <w:rPr>
                <w:rStyle w:val="22"/>
                <w:rFonts w:hint="eastAsia"/>
                <w:color w:val="auto"/>
                <w:lang w:val="en-US" w:eastAsia="zh-CN" w:bidi="ar"/>
              </w:rPr>
              <w:t>100982</w:t>
            </w:r>
          </w:p>
        </w:tc>
        <w:tc>
          <w:tcPr>
            <w:tcW w:w="810" w:type="dxa"/>
            <w:shd w:val="clear" w:color="auto" w:fill="auto"/>
            <w:vAlign w:val="center"/>
          </w:tcPr>
          <w:p w14:paraId="12CAA4CD">
            <w:pPr>
              <w:pageBreakBefore w:val="0"/>
              <w:widowControl/>
              <w:kinsoku/>
              <w:wordWrap/>
              <w:overflowPunct/>
              <w:topLinePunct w:val="0"/>
              <w:autoSpaceDE/>
              <w:autoSpaceDN/>
              <w:bidi w:val="0"/>
              <w:snapToGrid/>
              <w:jc w:val="center"/>
              <w:textAlignment w:val="center"/>
              <w:outlineLvl w:val="9"/>
              <w:rPr>
                <w:rStyle w:val="22"/>
                <w:rFonts w:hint="default"/>
                <w:color w:val="auto"/>
                <w:lang w:bidi="ar"/>
              </w:rPr>
            </w:pPr>
            <w:r>
              <w:rPr>
                <w:rStyle w:val="22"/>
                <w:rFonts w:hint="eastAsia"/>
                <w:color w:val="auto"/>
                <w:lang w:bidi="ar"/>
              </w:rPr>
              <w:t>3</w:t>
            </w:r>
          </w:p>
        </w:tc>
        <w:tc>
          <w:tcPr>
            <w:tcW w:w="1158" w:type="dxa"/>
            <w:shd w:val="clear" w:color="auto" w:fill="auto"/>
            <w:vAlign w:val="center"/>
          </w:tcPr>
          <w:p w14:paraId="03210007">
            <w:pPr>
              <w:pageBreakBefore w:val="0"/>
              <w:widowControl/>
              <w:kinsoku/>
              <w:wordWrap/>
              <w:overflowPunct/>
              <w:topLinePunct w:val="0"/>
              <w:autoSpaceDE/>
              <w:autoSpaceDN/>
              <w:bidi w:val="0"/>
              <w:snapToGrid/>
              <w:jc w:val="center"/>
              <w:textAlignment w:val="center"/>
              <w:outlineLvl w:val="9"/>
              <w:rPr>
                <w:rStyle w:val="22"/>
                <w:rFonts w:hint="eastAsia"/>
                <w:color w:val="auto"/>
                <w:lang w:eastAsia="zh-CN" w:bidi="ar"/>
              </w:rPr>
            </w:pPr>
            <w:r>
              <w:rPr>
                <w:rStyle w:val="22"/>
                <w:rFonts w:hint="eastAsia"/>
                <w:color w:val="auto"/>
                <w:lang w:val="en-US" w:eastAsia="zh-CN" w:bidi="ar"/>
              </w:rPr>
              <w:t>4</w:t>
            </w:r>
          </w:p>
        </w:tc>
        <w:tc>
          <w:tcPr>
            <w:tcW w:w="717" w:type="dxa"/>
            <w:vMerge w:val="continue"/>
            <w:shd w:val="clear" w:color="auto" w:fill="auto"/>
            <w:vAlign w:val="center"/>
          </w:tcPr>
          <w:p w14:paraId="240ABED2">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13A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A5D7A8E">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优化理论与方法</w:t>
            </w:r>
          </w:p>
        </w:tc>
        <w:tc>
          <w:tcPr>
            <w:tcW w:w="1875" w:type="dxa"/>
            <w:shd w:val="clear" w:color="auto" w:fill="auto"/>
            <w:vAlign w:val="center"/>
          </w:tcPr>
          <w:p w14:paraId="3F3358C0">
            <w:pPr>
              <w:pageBreakBefore w:val="0"/>
              <w:widowControl/>
              <w:kinsoku/>
              <w:wordWrap/>
              <w:overflowPunct/>
              <w:topLinePunct w:val="0"/>
              <w:autoSpaceDE/>
              <w:autoSpaceDN/>
              <w:bidi w:val="0"/>
              <w:snapToGrid/>
              <w:jc w:val="center"/>
              <w:textAlignment w:val="center"/>
              <w:outlineLvl w:val="9"/>
              <w:rPr>
                <w:rStyle w:val="22"/>
                <w:rFonts w:hint="default"/>
                <w:color w:val="auto"/>
                <w:lang w:val="en-US" w:eastAsia="zh-CN" w:bidi="ar"/>
              </w:rPr>
            </w:pPr>
            <w:r>
              <w:rPr>
                <w:rStyle w:val="22"/>
                <w:rFonts w:hint="eastAsia"/>
                <w:color w:val="auto"/>
                <w:lang w:val="en-US" w:eastAsia="zh-CN" w:bidi="ar"/>
              </w:rPr>
              <w:t>107476</w:t>
            </w:r>
          </w:p>
        </w:tc>
        <w:tc>
          <w:tcPr>
            <w:tcW w:w="810" w:type="dxa"/>
            <w:shd w:val="clear" w:color="auto" w:fill="auto"/>
            <w:vAlign w:val="center"/>
          </w:tcPr>
          <w:p w14:paraId="2FE09C50">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3</w:t>
            </w:r>
          </w:p>
        </w:tc>
        <w:tc>
          <w:tcPr>
            <w:tcW w:w="1158" w:type="dxa"/>
            <w:shd w:val="clear" w:color="auto" w:fill="auto"/>
            <w:vAlign w:val="center"/>
          </w:tcPr>
          <w:p w14:paraId="56D96561">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4</w:t>
            </w:r>
          </w:p>
        </w:tc>
        <w:tc>
          <w:tcPr>
            <w:tcW w:w="717" w:type="dxa"/>
            <w:vMerge w:val="continue"/>
            <w:shd w:val="clear" w:color="auto" w:fill="auto"/>
            <w:vAlign w:val="center"/>
          </w:tcPr>
          <w:p w14:paraId="6D131C8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5804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BA2D24D">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 xml:space="preserve"> </w:t>
            </w:r>
            <w:r>
              <w:rPr>
                <w:rStyle w:val="22"/>
                <w:rFonts w:hint="default"/>
                <w:color w:val="auto"/>
                <w:lang w:val="en-US" w:eastAsia="zh-CN" w:bidi="ar"/>
              </w:rPr>
              <w:t>回归分析</w:t>
            </w:r>
          </w:p>
        </w:tc>
        <w:tc>
          <w:tcPr>
            <w:tcW w:w="1875" w:type="dxa"/>
            <w:shd w:val="clear" w:color="auto" w:fill="auto"/>
            <w:vAlign w:val="center"/>
          </w:tcPr>
          <w:p w14:paraId="506A86C6">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100923</w:t>
            </w:r>
          </w:p>
        </w:tc>
        <w:tc>
          <w:tcPr>
            <w:tcW w:w="810" w:type="dxa"/>
            <w:shd w:val="clear" w:color="auto" w:fill="auto"/>
            <w:vAlign w:val="center"/>
          </w:tcPr>
          <w:p w14:paraId="21C1399E">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3</w:t>
            </w:r>
          </w:p>
        </w:tc>
        <w:tc>
          <w:tcPr>
            <w:tcW w:w="1158" w:type="dxa"/>
            <w:shd w:val="clear" w:color="auto" w:fill="auto"/>
            <w:vAlign w:val="center"/>
          </w:tcPr>
          <w:p w14:paraId="0CCC1427">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5</w:t>
            </w:r>
          </w:p>
        </w:tc>
        <w:tc>
          <w:tcPr>
            <w:tcW w:w="717" w:type="dxa"/>
            <w:vMerge w:val="continue"/>
            <w:shd w:val="clear" w:color="auto" w:fill="auto"/>
            <w:vAlign w:val="center"/>
          </w:tcPr>
          <w:p w14:paraId="0C2DE70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760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3057450">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 xml:space="preserve"> 数据结构</w:t>
            </w:r>
          </w:p>
        </w:tc>
        <w:tc>
          <w:tcPr>
            <w:tcW w:w="1875" w:type="dxa"/>
            <w:shd w:val="clear" w:color="auto" w:fill="auto"/>
            <w:vAlign w:val="center"/>
          </w:tcPr>
          <w:p w14:paraId="434BF116">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105506</w:t>
            </w:r>
          </w:p>
        </w:tc>
        <w:tc>
          <w:tcPr>
            <w:tcW w:w="810" w:type="dxa"/>
            <w:shd w:val="clear" w:color="auto" w:fill="auto"/>
            <w:vAlign w:val="center"/>
          </w:tcPr>
          <w:p w14:paraId="536CB288">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3</w:t>
            </w:r>
          </w:p>
        </w:tc>
        <w:tc>
          <w:tcPr>
            <w:tcW w:w="1158" w:type="dxa"/>
            <w:shd w:val="clear" w:color="auto" w:fill="auto"/>
            <w:vAlign w:val="center"/>
          </w:tcPr>
          <w:p w14:paraId="0C09E792">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3</w:t>
            </w:r>
          </w:p>
        </w:tc>
        <w:tc>
          <w:tcPr>
            <w:tcW w:w="717" w:type="dxa"/>
            <w:vMerge w:val="continue"/>
            <w:shd w:val="clear" w:color="auto" w:fill="auto"/>
            <w:vAlign w:val="center"/>
          </w:tcPr>
          <w:p w14:paraId="73058F8C">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F1E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AA2A41E">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 xml:space="preserve"> 随机过程</w:t>
            </w:r>
          </w:p>
        </w:tc>
        <w:tc>
          <w:tcPr>
            <w:tcW w:w="1875" w:type="dxa"/>
            <w:shd w:val="clear" w:color="auto" w:fill="auto"/>
            <w:vAlign w:val="center"/>
          </w:tcPr>
          <w:p w14:paraId="6C7EE491">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105509</w:t>
            </w:r>
          </w:p>
        </w:tc>
        <w:tc>
          <w:tcPr>
            <w:tcW w:w="810" w:type="dxa"/>
            <w:shd w:val="clear" w:color="auto" w:fill="auto"/>
            <w:vAlign w:val="center"/>
          </w:tcPr>
          <w:p w14:paraId="5B138E6D">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3</w:t>
            </w:r>
          </w:p>
        </w:tc>
        <w:tc>
          <w:tcPr>
            <w:tcW w:w="1158" w:type="dxa"/>
            <w:shd w:val="clear" w:color="auto" w:fill="auto"/>
            <w:vAlign w:val="center"/>
          </w:tcPr>
          <w:p w14:paraId="184BE044">
            <w:pPr>
              <w:pageBreakBefore w:val="0"/>
              <w:widowControl/>
              <w:kinsoku/>
              <w:wordWrap/>
              <w:overflowPunct/>
              <w:topLinePunct w:val="0"/>
              <w:autoSpaceDE/>
              <w:autoSpaceDN/>
              <w:bidi w:val="0"/>
              <w:snapToGrid/>
              <w:jc w:val="center"/>
              <w:textAlignment w:val="center"/>
              <w:outlineLvl w:val="9"/>
              <w:rPr>
                <w:rStyle w:val="22"/>
                <w:rFonts w:hint="eastAsia"/>
                <w:color w:val="auto"/>
                <w:lang w:val="en-US" w:eastAsia="zh-CN" w:bidi="ar"/>
              </w:rPr>
            </w:pPr>
            <w:r>
              <w:rPr>
                <w:rStyle w:val="22"/>
                <w:rFonts w:hint="eastAsia"/>
                <w:color w:val="auto"/>
                <w:lang w:val="en-US" w:eastAsia="zh-CN" w:bidi="ar"/>
              </w:rPr>
              <w:t>5</w:t>
            </w:r>
          </w:p>
        </w:tc>
        <w:tc>
          <w:tcPr>
            <w:tcW w:w="717" w:type="dxa"/>
            <w:vMerge w:val="continue"/>
            <w:shd w:val="clear" w:color="auto" w:fill="auto"/>
            <w:vAlign w:val="center"/>
          </w:tcPr>
          <w:p w14:paraId="31E73D1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bl>
    <w:p w14:paraId="19EFBF61">
      <w:pPr>
        <w:pageBreakBefore w:val="0"/>
        <w:kinsoku/>
        <w:wordWrap/>
        <w:overflowPunct/>
        <w:topLinePunct w:val="0"/>
        <w:autoSpaceDE/>
        <w:autoSpaceDN/>
        <w:bidi w:val="0"/>
        <w:snapToGrid/>
        <w:outlineLvl w:val="9"/>
        <w:rPr>
          <w:b/>
          <w:bCs/>
          <w:color w:val="auto"/>
          <w:szCs w:val="21"/>
        </w:rPr>
      </w:pPr>
    </w:p>
    <w:p w14:paraId="1D8DBD3D">
      <w:pPr>
        <w:pageBreakBefore w:val="0"/>
        <w:kinsoku/>
        <w:wordWrap/>
        <w:overflowPunct/>
        <w:topLinePunct w:val="0"/>
        <w:autoSpaceDE/>
        <w:autoSpaceDN/>
        <w:bidi w:val="0"/>
        <w:snapToGrid/>
        <w:ind w:firstLine="420" w:firstLineChars="200"/>
        <w:outlineLvl w:val="9"/>
        <w:rPr>
          <w:b/>
          <w:bCs/>
          <w:color w:val="auto"/>
          <w:szCs w:val="21"/>
        </w:rPr>
      </w:pPr>
      <w:r>
        <w:rPr>
          <w:rFonts w:hint="eastAsia"/>
          <w:b/>
          <w:bCs/>
          <w:color w:val="auto"/>
          <w:szCs w:val="21"/>
        </w:rPr>
        <w:t>（三）个性化培养模块</w:t>
      </w:r>
    </w:p>
    <w:p w14:paraId="61A18E32">
      <w:pPr>
        <w:pageBreakBefore w:val="0"/>
        <w:kinsoku/>
        <w:wordWrap/>
        <w:overflowPunct/>
        <w:topLinePunct w:val="0"/>
        <w:autoSpaceDE/>
        <w:autoSpaceDN/>
        <w:bidi w:val="0"/>
        <w:snapToGrid/>
        <w:ind w:firstLine="422" w:firstLineChars="200"/>
        <w:outlineLvl w:val="9"/>
        <w:rPr>
          <w:rFonts w:ascii="宋体" w:hAnsi="宋体" w:eastAsia="宋体" w:cs="宋体"/>
          <w:b/>
          <w:bCs/>
          <w:color w:val="auto"/>
          <w:szCs w:val="21"/>
        </w:rPr>
      </w:pPr>
      <w:r>
        <w:rPr>
          <w:rFonts w:hint="eastAsia" w:ascii="宋体" w:hAnsi="宋体" w:eastAsia="宋体" w:cs="宋体"/>
          <w:b/>
          <w:bCs/>
          <w:color w:val="auto"/>
          <w:szCs w:val="21"/>
        </w:rPr>
        <w:t>个性化培养模块具体设置如下：</w:t>
      </w:r>
    </w:p>
    <w:tbl>
      <w:tblPr>
        <w:tblStyle w:val="17"/>
        <w:tblW w:w="7818" w:type="dxa"/>
        <w:jc w:val="center"/>
        <w:tblLayout w:type="autofit"/>
        <w:tblCellMar>
          <w:top w:w="0" w:type="dxa"/>
          <w:left w:w="108" w:type="dxa"/>
          <w:bottom w:w="0" w:type="dxa"/>
          <w:right w:w="108" w:type="dxa"/>
        </w:tblCellMar>
      </w:tblPr>
      <w:tblGrid>
        <w:gridCol w:w="1627"/>
        <w:gridCol w:w="1630"/>
        <w:gridCol w:w="905"/>
        <w:gridCol w:w="3656"/>
      </w:tblGrid>
      <w:tr w14:paraId="2D882E90">
        <w:tblPrEx>
          <w:tblCellMar>
            <w:top w:w="0" w:type="dxa"/>
            <w:left w:w="108" w:type="dxa"/>
            <w:bottom w:w="0" w:type="dxa"/>
            <w:right w:w="108" w:type="dxa"/>
          </w:tblCellMar>
        </w:tblPrEx>
        <w:trPr>
          <w:trHeight w:val="469" w:hRule="atLeast"/>
          <w:jc w:val="center"/>
        </w:trPr>
        <w:tc>
          <w:tcPr>
            <w:tcW w:w="3257" w:type="dxa"/>
            <w:gridSpan w:val="2"/>
            <w:tcBorders>
              <w:top w:val="single" w:color="000000" w:sz="8" w:space="0"/>
              <w:left w:val="single" w:color="000000" w:sz="8" w:space="0"/>
              <w:bottom w:val="single" w:color="000000" w:sz="8" w:space="0"/>
              <w:right w:val="single" w:color="000000" w:sz="8" w:space="0"/>
            </w:tcBorders>
            <w:shd w:val="clear" w:color="auto" w:fill="E7E6E6"/>
            <w:vAlign w:val="center"/>
          </w:tcPr>
          <w:p w14:paraId="0DD9077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课程模块名称</w:t>
            </w:r>
          </w:p>
        </w:tc>
        <w:tc>
          <w:tcPr>
            <w:tcW w:w="905" w:type="dxa"/>
            <w:tcBorders>
              <w:top w:val="single" w:color="000000" w:sz="8" w:space="0"/>
              <w:left w:val="nil"/>
              <w:bottom w:val="single" w:color="000000" w:sz="8" w:space="0"/>
              <w:right w:val="single" w:color="000000" w:sz="8" w:space="0"/>
            </w:tcBorders>
            <w:shd w:val="clear" w:color="auto" w:fill="E7E6E6"/>
            <w:vAlign w:val="center"/>
          </w:tcPr>
          <w:p w14:paraId="5A00C21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学分要求</w:t>
            </w:r>
          </w:p>
        </w:tc>
        <w:tc>
          <w:tcPr>
            <w:tcW w:w="3656" w:type="dxa"/>
            <w:tcBorders>
              <w:top w:val="single" w:color="000000" w:sz="8" w:space="0"/>
              <w:left w:val="nil"/>
              <w:bottom w:val="single" w:color="000000" w:sz="8" w:space="0"/>
              <w:right w:val="single" w:color="000000" w:sz="8" w:space="0"/>
            </w:tcBorders>
            <w:shd w:val="clear" w:color="auto" w:fill="E7E6E6"/>
            <w:vAlign w:val="center"/>
          </w:tcPr>
          <w:p w14:paraId="6A21CB7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模块说明</w:t>
            </w:r>
          </w:p>
        </w:tc>
      </w:tr>
      <w:tr w14:paraId="65037E50">
        <w:tblPrEx>
          <w:tblCellMar>
            <w:top w:w="0" w:type="dxa"/>
            <w:left w:w="108" w:type="dxa"/>
            <w:bottom w:w="0" w:type="dxa"/>
            <w:right w:w="108" w:type="dxa"/>
          </w:tblCellMar>
        </w:tblPrEx>
        <w:trPr>
          <w:trHeight w:val="469" w:hRule="atLeast"/>
          <w:jc w:val="center"/>
        </w:trPr>
        <w:tc>
          <w:tcPr>
            <w:tcW w:w="1627" w:type="dxa"/>
            <w:vMerge w:val="restart"/>
            <w:tcBorders>
              <w:top w:val="single" w:color="000000" w:sz="8" w:space="0"/>
              <w:left w:val="single" w:color="000000" w:sz="8" w:space="0"/>
              <w:right w:val="single" w:color="000000" w:sz="8" w:space="0"/>
            </w:tcBorders>
            <w:shd w:val="clear" w:color="auto" w:fill="auto"/>
            <w:vAlign w:val="center"/>
          </w:tcPr>
          <w:p w14:paraId="5C6F0DF9">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拔尖型培养模块</w:t>
            </w: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77E41F">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专业进阶必修课程</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31774ADC">
            <w:pPr>
              <w:pageBreakBefore w:val="0"/>
              <w:kinsoku/>
              <w:wordWrap/>
              <w:overflowPunct/>
              <w:topLinePunct w:val="0"/>
              <w:autoSpaceDE/>
              <w:autoSpaceDN/>
              <w:bidi w:val="0"/>
              <w:snapToGrid/>
              <w:jc w:val="center"/>
              <w:outlineLvl w:val="9"/>
              <w:rPr>
                <w:rFonts w:ascii="黑体" w:hAnsi="黑体" w:eastAsia="黑体" w:cs="黑体"/>
                <w:color w:val="auto"/>
                <w:szCs w:val="21"/>
                <w:highlight w:val="red"/>
              </w:rPr>
            </w:pPr>
            <w:r>
              <w:rPr>
                <w:rFonts w:hint="eastAsia" w:ascii="黑体" w:hAnsi="黑体" w:eastAsia="黑体" w:cs="黑体"/>
                <w:color w:val="auto"/>
                <w:szCs w:val="21"/>
              </w:rPr>
              <w:t>5</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487FAC58">
            <w:pPr>
              <w:pageBreakBefore w:val="0"/>
              <w:kinsoku/>
              <w:wordWrap/>
              <w:overflowPunct/>
              <w:topLinePunct w:val="0"/>
              <w:autoSpaceDE/>
              <w:autoSpaceDN/>
              <w:bidi w:val="0"/>
              <w:snapToGrid/>
              <w:jc w:val="center"/>
              <w:outlineLvl w:val="9"/>
              <w:rPr>
                <w:rFonts w:ascii="黑体" w:hAnsi="黑体" w:eastAsia="黑体" w:cs="黑体"/>
                <w:color w:val="auto"/>
                <w:szCs w:val="21"/>
              </w:rPr>
            </w:pPr>
          </w:p>
        </w:tc>
      </w:tr>
      <w:tr w14:paraId="31A2B700">
        <w:tblPrEx>
          <w:tblCellMar>
            <w:top w:w="0" w:type="dxa"/>
            <w:left w:w="108" w:type="dxa"/>
            <w:bottom w:w="0" w:type="dxa"/>
            <w:right w:w="108" w:type="dxa"/>
          </w:tblCellMar>
        </w:tblPrEx>
        <w:trPr>
          <w:trHeight w:val="395" w:hRule="atLeast"/>
          <w:jc w:val="center"/>
        </w:trPr>
        <w:tc>
          <w:tcPr>
            <w:tcW w:w="1627" w:type="dxa"/>
            <w:vMerge w:val="continue"/>
            <w:tcBorders>
              <w:left w:val="single" w:color="000000" w:sz="8" w:space="0"/>
              <w:right w:val="single" w:color="000000" w:sz="8" w:space="0"/>
            </w:tcBorders>
            <w:shd w:val="clear" w:color="auto" w:fill="auto"/>
            <w:vAlign w:val="center"/>
          </w:tcPr>
          <w:p w14:paraId="5211B4CE">
            <w:pPr>
              <w:pageBreakBefore w:val="0"/>
              <w:kinsoku/>
              <w:wordWrap/>
              <w:overflowPunct/>
              <w:topLinePunct w:val="0"/>
              <w:autoSpaceDE/>
              <w:autoSpaceDN/>
              <w:bidi w:val="0"/>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521257">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专业方向模块</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43963C5E">
            <w:pPr>
              <w:pageBreakBefore w:val="0"/>
              <w:kinsoku/>
              <w:wordWrap/>
              <w:overflowPunct/>
              <w:topLinePunct w:val="0"/>
              <w:autoSpaceDE/>
              <w:autoSpaceDN/>
              <w:bidi w:val="0"/>
              <w:snapToGrid/>
              <w:jc w:val="center"/>
              <w:outlineLvl w:val="9"/>
              <w:rPr>
                <w:rFonts w:ascii="黑体" w:hAnsi="黑体" w:eastAsia="黑体" w:cs="黑体"/>
                <w:color w:val="auto"/>
                <w:szCs w:val="21"/>
                <w:highlight w:val="red"/>
              </w:rPr>
            </w:pPr>
            <w:r>
              <w:rPr>
                <w:rFonts w:hint="eastAsia" w:ascii="黑体" w:hAnsi="黑体" w:eastAsia="黑体" w:cs="黑体"/>
                <w:color w:val="auto"/>
                <w:szCs w:val="21"/>
              </w:rPr>
              <w:t>8</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7596B4CB">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根据学生所在方向选择修读</w:t>
            </w:r>
          </w:p>
        </w:tc>
      </w:tr>
      <w:tr w14:paraId="3EF4C512">
        <w:tblPrEx>
          <w:tblCellMar>
            <w:top w:w="0" w:type="dxa"/>
            <w:left w:w="108" w:type="dxa"/>
            <w:bottom w:w="0" w:type="dxa"/>
            <w:right w:w="108" w:type="dxa"/>
          </w:tblCellMar>
        </w:tblPrEx>
        <w:trPr>
          <w:trHeight w:val="395" w:hRule="atLeast"/>
          <w:jc w:val="center"/>
        </w:trPr>
        <w:tc>
          <w:tcPr>
            <w:tcW w:w="1627" w:type="dxa"/>
            <w:vMerge w:val="continue"/>
            <w:tcBorders>
              <w:left w:val="single" w:color="000000" w:sz="8" w:space="0"/>
              <w:right w:val="single" w:color="000000" w:sz="8" w:space="0"/>
            </w:tcBorders>
            <w:shd w:val="clear" w:color="auto" w:fill="auto"/>
            <w:vAlign w:val="center"/>
          </w:tcPr>
          <w:p w14:paraId="4A533A04">
            <w:pPr>
              <w:pageBreakBefore w:val="0"/>
              <w:kinsoku/>
              <w:wordWrap/>
              <w:overflowPunct/>
              <w:topLinePunct w:val="0"/>
              <w:autoSpaceDE/>
              <w:autoSpaceDN/>
              <w:bidi w:val="0"/>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E57C13">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跨学科选修</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7FD5CFD2">
            <w:pPr>
              <w:pageBreakBefore w:val="0"/>
              <w:kinsoku/>
              <w:wordWrap/>
              <w:overflowPunct/>
              <w:topLinePunct w:val="0"/>
              <w:autoSpaceDE/>
              <w:autoSpaceDN/>
              <w:bidi w:val="0"/>
              <w:snapToGrid/>
              <w:jc w:val="center"/>
              <w:outlineLvl w:val="9"/>
              <w:rPr>
                <w:rFonts w:ascii="黑体" w:hAnsi="黑体" w:eastAsia="黑体" w:cs="黑体"/>
                <w:color w:val="auto"/>
                <w:szCs w:val="21"/>
                <w:highlight w:val="red"/>
              </w:rPr>
            </w:pPr>
            <w:r>
              <w:rPr>
                <w:rFonts w:hint="eastAsia" w:ascii="黑体" w:hAnsi="黑体" w:eastAsia="黑体" w:cs="黑体"/>
                <w:color w:val="auto"/>
                <w:szCs w:val="21"/>
              </w:rPr>
              <w:t>8</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4892B349">
            <w:pPr>
              <w:pageBreakBefore w:val="0"/>
              <w:kinsoku/>
              <w:wordWrap/>
              <w:overflowPunct/>
              <w:topLinePunct w:val="0"/>
              <w:autoSpaceDE/>
              <w:autoSpaceDN/>
              <w:bidi w:val="0"/>
              <w:snapToGrid/>
              <w:jc w:val="center"/>
              <w:outlineLvl w:val="9"/>
              <w:rPr>
                <w:rFonts w:ascii="黑体" w:hAnsi="黑体" w:eastAsia="黑体" w:cs="黑体"/>
                <w:color w:val="auto"/>
                <w:szCs w:val="21"/>
              </w:rPr>
            </w:pPr>
          </w:p>
        </w:tc>
      </w:tr>
      <w:tr w14:paraId="36C67A85">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4F391D4D">
            <w:pPr>
              <w:pageBreakBefore w:val="0"/>
              <w:kinsoku/>
              <w:wordWrap/>
              <w:overflowPunct/>
              <w:topLinePunct w:val="0"/>
              <w:autoSpaceDE/>
              <w:autoSpaceDN/>
              <w:bidi w:val="0"/>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26040A">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科创训练</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1675D125">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2</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40E5464B">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归口为第二课堂学分</w:t>
            </w:r>
          </w:p>
        </w:tc>
      </w:tr>
      <w:tr w14:paraId="07827891">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bottom w:val="single" w:color="000000" w:sz="8" w:space="0"/>
              <w:right w:val="single" w:color="000000" w:sz="8" w:space="0"/>
            </w:tcBorders>
            <w:shd w:val="clear" w:color="auto" w:fill="auto"/>
            <w:vAlign w:val="center"/>
          </w:tcPr>
          <w:p w14:paraId="775720E5">
            <w:pPr>
              <w:pageBreakBefore w:val="0"/>
              <w:kinsoku/>
              <w:wordWrap/>
              <w:overflowPunct/>
              <w:topLinePunct w:val="0"/>
              <w:autoSpaceDE/>
              <w:autoSpaceDN/>
              <w:bidi w:val="0"/>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95F690">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总计</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6820D870">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23</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4F1C30A1">
            <w:pPr>
              <w:pageBreakBefore w:val="0"/>
              <w:kinsoku/>
              <w:wordWrap/>
              <w:overflowPunct/>
              <w:topLinePunct w:val="0"/>
              <w:autoSpaceDE/>
              <w:autoSpaceDN/>
              <w:bidi w:val="0"/>
              <w:snapToGrid/>
              <w:jc w:val="center"/>
              <w:outlineLvl w:val="9"/>
              <w:rPr>
                <w:rFonts w:ascii="黑体" w:hAnsi="黑体" w:eastAsia="黑体" w:cs="黑体"/>
                <w:color w:val="auto"/>
                <w:szCs w:val="21"/>
              </w:rPr>
            </w:pPr>
          </w:p>
        </w:tc>
      </w:tr>
    </w:tbl>
    <w:p w14:paraId="3358119E">
      <w:pPr>
        <w:pageBreakBefore w:val="0"/>
        <w:kinsoku/>
        <w:wordWrap/>
        <w:overflowPunct/>
        <w:topLinePunct w:val="0"/>
        <w:autoSpaceDE/>
        <w:autoSpaceDN/>
        <w:bidi w:val="0"/>
        <w:snapToGrid/>
        <w:outlineLvl w:val="9"/>
        <w:rPr>
          <w:color w:val="auto"/>
          <w:szCs w:val="21"/>
        </w:rPr>
      </w:pPr>
    </w:p>
    <w:p w14:paraId="54A8A40D">
      <w:pPr>
        <w:pageBreakBefore w:val="0"/>
        <w:kinsoku/>
        <w:wordWrap/>
        <w:overflowPunct/>
        <w:topLinePunct w:val="0"/>
        <w:autoSpaceDE/>
        <w:autoSpaceDN/>
        <w:bidi w:val="0"/>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1.</w:t>
      </w:r>
      <w:r>
        <w:rPr>
          <w:rFonts w:hint="eastAsia"/>
          <w:b/>
          <w:bCs/>
          <w:color w:val="auto"/>
          <w:szCs w:val="21"/>
        </w:rPr>
        <w:t>拔尖型培养模块（基地班方向）</w:t>
      </w:r>
    </w:p>
    <w:p w14:paraId="64AA75C4">
      <w:pPr>
        <w:pageBreakBefore w:val="0"/>
        <w:kinsoku/>
        <w:wordWrap/>
        <w:overflowPunct/>
        <w:topLinePunct w:val="0"/>
        <w:autoSpaceDE/>
        <w:autoSpaceDN/>
        <w:bidi w:val="0"/>
        <w:snapToGrid/>
        <w:ind w:firstLine="420" w:firstLineChars="200"/>
        <w:outlineLvl w:val="9"/>
        <w:rPr>
          <w:color w:val="auto"/>
          <w:szCs w:val="21"/>
        </w:rPr>
      </w:pPr>
      <w:r>
        <w:rPr>
          <w:color w:val="auto"/>
          <w:szCs w:val="21"/>
        </w:rPr>
        <w:t>要求</w:t>
      </w:r>
      <w:r>
        <w:rPr>
          <w:rFonts w:hint="eastAsia"/>
          <w:color w:val="auto"/>
          <w:szCs w:val="21"/>
        </w:rPr>
        <w:t>基地</w:t>
      </w:r>
      <w:r>
        <w:rPr>
          <w:color w:val="auto"/>
          <w:szCs w:val="21"/>
        </w:rPr>
        <w:t>班必修拔尖型模块，若修读卓越型、创业型需退出</w:t>
      </w:r>
      <w:r>
        <w:rPr>
          <w:rFonts w:hint="eastAsia"/>
          <w:color w:val="auto"/>
          <w:szCs w:val="21"/>
        </w:rPr>
        <w:t>基地</w:t>
      </w:r>
      <w:r>
        <w:rPr>
          <w:color w:val="auto"/>
          <w:szCs w:val="21"/>
        </w:rPr>
        <w:t>班，且不享受</w:t>
      </w:r>
      <w:r>
        <w:rPr>
          <w:rFonts w:hint="eastAsia"/>
          <w:color w:val="auto"/>
          <w:szCs w:val="21"/>
        </w:rPr>
        <w:t>基地</w:t>
      </w:r>
      <w:r>
        <w:rPr>
          <w:color w:val="auto"/>
          <w:szCs w:val="21"/>
        </w:rPr>
        <w:t>班政策。</w:t>
      </w:r>
    </w:p>
    <w:p w14:paraId="7A74C162">
      <w:pPr>
        <w:pageBreakBefore w:val="0"/>
        <w:kinsoku/>
        <w:wordWrap/>
        <w:overflowPunct/>
        <w:topLinePunct w:val="0"/>
        <w:autoSpaceDE/>
        <w:autoSpaceDN/>
        <w:bidi w:val="0"/>
        <w:snapToGrid/>
        <w:ind w:firstLine="420" w:firstLineChars="200"/>
        <w:outlineLvl w:val="9"/>
        <w:rPr>
          <w:color w:val="auto"/>
          <w:szCs w:val="21"/>
        </w:rPr>
      </w:pPr>
      <w:r>
        <w:rPr>
          <w:rFonts w:hint="eastAsia"/>
          <w:color w:val="auto"/>
          <w:szCs w:val="21"/>
        </w:rPr>
        <w:t>（1）专业进阶必修课程模块（5学分）</w:t>
      </w:r>
    </w:p>
    <w:p w14:paraId="6C2BBCFE">
      <w:pPr>
        <w:pageBreakBefore w:val="0"/>
        <w:kinsoku/>
        <w:wordWrap/>
        <w:overflowPunct/>
        <w:topLinePunct w:val="0"/>
        <w:autoSpaceDE/>
        <w:autoSpaceDN/>
        <w:bidi w:val="0"/>
        <w:snapToGrid/>
        <w:ind w:firstLine="420" w:firstLineChars="200"/>
        <w:outlineLvl w:val="9"/>
        <w:rPr>
          <w:color w:val="auto"/>
          <w:szCs w:val="21"/>
        </w:rPr>
      </w:pPr>
      <w:r>
        <w:rPr>
          <w:color w:val="auto"/>
          <w:szCs w:val="21"/>
        </w:rPr>
        <w:t>课程设置</w:t>
      </w:r>
      <w:r>
        <w:rPr>
          <w:rFonts w:hint="eastAsia"/>
          <w:color w:val="auto"/>
          <w:szCs w:val="21"/>
        </w:rPr>
        <w:t>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950"/>
        <w:gridCol w:w="705"/>
        <w:gridCol w:w="1188"/>
        <w:gridCol w:w="717"/>
      </w:tblGrid>
      <w:tr w14:paraId="760D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64FE47C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950" w:type="dxa"/>
            <w:vAlign w:val="center"/>
          </w:tcPr>
          <w:p w14:paraId="0A1529C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705" w:type="dxa"/>
            <w:vAlign w:val="center"/>
          </w:tcPr>
          <w:p w14:paraId="68EFF0B5">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88" w:type="dxa"/>
            <w:vAlign w:val="center"/>
          </w:tcPr>
          <w:p w14:paraId="57F24BE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055702AA">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047A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D364870">
            <w:pPr>
              <w:pageBreakBefore w:val="0"/>
              <w:widowControl/>
              <w:kinsoku/>
              <w:wordWrap/>
              <w:overflowPunct/>
              <w:topLinePunct w:val="0"/>
              <w:autoSpaceDE/>
              <w:autoSpaceDN/>
              <w:bidi w:val="0"/>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泛函分析</w:t>
            </w:r>
          </w:p>
        </w:tc>
        <w:tc>
          <w:tcPr>
            <w:tcW w:w="1950" w:type="dxa"/>
            <w:shd w:val="clear" w:color="auto" w:fill="auto"/>
            <w:vAlign w:val="center"/>
          </w:tcPr>
          <w:p w14:paraId="7685BACA">
            <w:pPr>
              <w:pageBreakBefore w:val="0"/>
              <w:widowControl/>
              <w:kinsoku/>
              <w:wordWrap/>
              <w:overflowPunct/>
              <w:topLinePunct w:val="0"/>
              <w:autoSpaceDE/>
              <w:autoSpaceDN/>
              <w:bidi w:val="0"/>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100409</w:t>
            </w:r>
          </w:p>
        </w:tc>
        <w:tc>
          <w:tcPr>
            <w:tcW w:w="705" w:type="dxa"/>
            <w:shd w:val="clear" w:color="auto" w:fill="auto"/>
            <w:vAlign w:val="center"/>
          </w:tcPr>
          <w:p w14:paraId="035BC9E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735C5ED4">
            <w:pPr>
              <w:pageBreakBefore w:val="0"/>
              <w:widowControl/>
              <w:kinsoku/>
              <w:wordWrap/>
              <w:overflowPunct/>
              <w:topLinePunct w:val="0"/>
              <w:autoSpaceDE/>
              <w:autoSpaceDN/>
              <w:bidi w:val="0"/>
              <w:snapToGrid/>
              <w:jc w:val="center"/>
              <w:textAlignment w:val="center"/>
              <w:outlineLvl w:val="9"/>
              <w:rPr>
                <w:rFonts w:hint="eastAsia" w:ascii="黑体" w:hAnsi="黑体" w:eastAsia="黑体" w:cs="黑体"/>
                <w:color w:val="auto"/>
                <w:szCs w:val="21"/>
                <w:lang w:eastAsia="zh-CN"/>
              </w:rPr>
            </w:pPr>
            <w:r>
              <w:rPr>
                <w:rFonts w:hint="eastAsia" w:ascii="等线" w:hAnsi="等线" w:eastAsia="等线" w:cs="等线"/>
                <w:color w:val="auto"/>
                <w:kern w:val="0"/>
                <w:sz w:val="18"/>
                <w:szCs w:val="18"/>
                <w:lang w:val="en-US" w:eastAsia="zh-CN" w:bidi="ar"/>
              </w:rPr>
              <w:t>5</w:t>
            </w:r>
          </w:p>
        </w:tc>
        <w:tc>
          <w:tcPr>
            <w:tcW w:w="717" w:type="dxa"/>
            <w:vMerge w:val="restart"/>
            <w:shd w:val="clear" w:color="auto" w:fill="auto"/>
            <w:vAlign w:val="center"/>
          </w:tcPr>
          <w:p w14:paraId="39AEDDA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必修</w:t>
            </w:r>
          </w:p>
        </w:tc>
      </w:tr>
      <w:tr w14:paraId="11CA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2D2B5A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广义线性模型</w:t>
            </w:r>
          </w:p>
        </w:tc>
        <w:tc>
          <w:tcPr>
            <w:tcW w:w="1950" w:type="dxa"/>
            <w:shd w:val="clear" w:color="auto" w:fill="auto"/>
            <w:vAlign w:val="center"/>
          </w:tcPr>
          <w:p w14:paraId="488EDEF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102109</w:t>
            </w:r>
          </w:p>
        </w:tc>
        <w:tc>
          <w:tcPr>
            <w:tcW w:w="705" w:type="dxa"/>
            <w:shd w:val="clear" w:color="auto" w:fill="auto"/>
            <w:vAlign w:val="center"/>
          </w:tcPr>
          <w:p w14:paraId="2C0D99A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0CB89C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7</w:t>
            </w:r>
          </w:p>
        </w:tc>
        <w:tc>
          <w:tcPr>
            <w:tcW w:w="717" w:type="dxa"/>
            <w:vMerge w:val="continue"/>
            <w:shd w:val="clear" w:color="auto" w:fill="auto"/>
          </w:tcPr>
          <w:p w14:paraId="3B71A4C2">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bl>
    <w:p w14:paraId="204D793D">
      <w:pPr>
        <w:pageBreakBefore w:val="0"/>
        <w:tabs>
          <w:tab w:val="left" w:pos="763"/>
        </w:tabs>
        <w:kinsoku/>
        <w:wordWrap/>
        <w:overflowPunct/>
        <w:topLinePunct w:val="0"/>
        <w:autoSpaceDE/>
        <w:autoSpaceDN/>
        <w:bidi w:val="0"/>
        <w:snapToGrid/>
        <w:ind w:firstLine="420" w:firstLineChars="200"/>
        <w:outlineLvl w:val="9"/>
        <w:rPr>
          <w:color w:val="auto"/>
          <w:szCs w:val="21"/>
        </w:rPr>
      </w:pPr>
    </w:p>
    <w:p w14:paraId="5730DCF8">
      <w:pPr>
        <w:pageBreakBefore w:val="0"/>
        <w:tabs>
          <w:tab w:val="left" w:pos="763"/>
        </w:tabs>
        <w:kinsoku/>
        <w:wordWrap/>
        <w:overflowPunct/>
        <w:topLinePunct w:val="0"/>
        <w:autoSpaceDE/>
        <w:autoSpaceDN/>
        <w:bidi w:val="0"/>
        <w:snapToGrid/>
        <w:ind w:firstLine="420" w:firstLineChars="200"/>
        <w:outlineLvl w:val="9"/>
        <w:rPr>
          <w:color w:val="auto"/>
          <w:szCs w:val="21"/>
        </w:rPr>
      </w:pPr>
      <w:r>
        <w:rPr>
          <w:rFonts w:hint="eastAsia" w:asciiTheme="minorHAnsi" w:hAnsiTheme="minorHAnsi" w:eastAsiaTheme="minorEastAsia" w:cstheme="minorBidi"/>
          <w:color w:val="auto"/>
          <w:szCs w:val="21"/>
        </w:rPr>
        <w:t>（2）</w:t>
      </w:r>
      <w:r>
        <w:rPr>
          <w:rFonts w:hint="eastAsia"/>
          <w:color w:val="auto"/>
          <w:szCs w:val="21"/>
        </w:rPr>
        <w:t>专业方向模块（</w:t>
      </w:r>
      <w:r>
        <w:rPr>
          <w:rFonts w:hint="eastAsia"/>
          <w:color w:val="auto"/>
          <w:szCs w:val="21"/>
          <w:lang w:val="en-US" w:eastAsia="zh-CN"/>
        </w:rPr>
        <w:t>基地班</w:t>
      </w:r>
      <w:r>
        <w:rPr>
          <w:rFonts w:hint="eastAsia"/>
          <w:color w:val="auto"/>
          <w:szCs w:val="21"/>
        </w:rPr>
        <w:t>方向8学分）</w:t>
      </w:r>
    </w:p>
    <w:p w14:paraId="0899FEB3">
      <w:pPr>
        <w:pageBreakBefore w:val="0"/>
        <w:kinsoku/>
        <w:wordWrap/>
        <w:overflowPunct/>
        <w:topLinePunct w:val="0"/>
        <w:autoSpaceDE/>
        <w:autoSpaceDN/>
        <w:bidi w:val="0"/>
        <w:snapToGrid/>
        <w:ind w:firstLine="420" w:firstLineChars="200"/>
        <w:outlineLvl w:val="9"/>
        <w:rPr>
          <w:color w:val="auto"/>
          <w:szCs w:val="21"/>
        </w:rPr>
      </w:pPr>
      <w:r>
        <w:rPr>
          <w:color w:val="auto"/>
          <w:szCs w:val="21"/>
        </w:rPr>
        <w:t>课程</w:t>
      </w:r>
      <w:r>
        <w:rPr>
          <w:rFonts w:hint="eastAsia"/>
          <w:color w:val="auto"/>
          <w:szCs w:val="21"/>
        </w:rPr>
        <w:t>清单如下：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950"/>
        <w:gridCol w:w="705"/>
        <w:gridCol w:w="1188"/>
        <w:gridCol w:w="717"/>
      </w:tblGrid>
      <w:tr w14:paraId="67F0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16CCBC0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950" w:type="dxa"/>
            <w:vAlign w:val="center"/>
          </w:tcPr>
          <w:p w14:paraId="4755DEFD">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705" w:type="dxa"/>
            <w:vAlign w:val="center"/>
          </w:tcPr>
          <w:p w14:paraId="44585B37">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88" w:type="dxa"/>
            <w:vAlign w:val="center"/>
          </w:tcPr>
          <w:p w14:paraId="0CB0158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5A3615D5">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7AC3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12BAED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数据科学导论</w:t>
            </w:r>
          </w:p>
        </w:tc>
        <w:tc>
          <w:tcPr>
            <w:tcW w:w="1950" w:type="dxa"/>
            <w:shd w:val="clear" w:color="auto" w:fill="auto"/>
            <w:vAlign w:val="center"/>
          </w:tcPr>
          <w:p w14:paraId="53E027E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103275</w:t>
            </w:r>
          </w:p>
        </w:tc>
        <w:tc>
          <w:tcPr>
            <w:tcW w:w="705" w:type="dxa"/>
            <w:shd w:val="clear" w:color="auto" w:fill="auto"/>
            <w:vAlign w:val="center"/>
          </w:tcPr>
          <w:p w14:paraId="5967BE0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7BF20F1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restart"/>
            <w:shd w:val="clear" w:color="auto" w:fill="auto"/>
            <w:vAlign w:val="center"/>
          </w:tcPr>
          <w:p w14:paraId="1039216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选修</w:t>
            </w:r>
          </w:p>
        </w:tc>
      </w:tr>
      <w:tr w14:paraId="17CD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661574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国民经济核算</w:t>
            </w:r>
          </w:p>
        </w:tc>
        <w:tc>
          <w:tcPr>
            <w:tcW w:w="1950" w:type="dxa"/>
            <w:shd w:val="clear" w:color="auto" w:fill="auto"/>
            <w:vAlign w:val="center"/>
          </w:tcPr>
          <w:p w14:paraId="7F5DA67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100659</w:t>
            </w:r>
          </w:p>
        </w:tc>
        <w:tc>
          <w:tcPr>
            <w:tcW w:w="705" w:type="dxa"/>
            <w:shd w:val="clear" w:color="auto" w:fill="auto"/>
            <w:vAlign w:val="center"/>
          </w:tcPr>
          <w:p w14:paraId="46C7159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5E951CB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tcPr>
          <w:p w14:paraId="197AD1C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7C1F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0E56D9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商务统计建模与决策</w:t>
            </w:r>
          </w:p>
        </w:tc>
        <w:tc>
          <w:tcPr>
            <w:tcW w:w="1950" w:type="dxa"/>
            <w:shd w:val="clear" w:color="auto" w:fill="auto"/>
            <w:vAlign w:val="center"/>
          </w:tcPr>
          <w:p w14:paraId="3CA924A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101849</w:t>
            </w:r>
          </w:p>
        </w:tc>
        <w:tc>
          <w:tcPr>
            <w:tcW w:w="705" w:type="dxa"/>
            <w:shd w:val="clear" w:color="auto" w:fill="auto"/>
            <w:vAlign w:val="center"/>
          </w:tcPr>
          <w:p w14:paraId="3FF0C1E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124AEE6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tcPr>
          <w:p w14:paraId="5FA9474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4F0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7FD313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分布式计算</w:t>
            </w:r>
          </w:p>
        </w:tc>
        <w:tc>
          <w:tcPr>
            <w:tcW w:w="1950" w:type="dxa"/>
            <w:shd w:val="clear" w:color="auto" w:fill="auto"/>
            <w:vAlign w:val="center"/>
          </w:tcPr>
          <w:p w14:paraId="275727E9">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103278</w:t>
            </w:r>
          </w:p>
        </w:tc>
        <w:tc>
          <w:tcPr>
            <w:tcW w:w="705" w:type="dxa"/>
            <w:shd w:val="clear" w:color="auto" w:fill="auto"/>
            <w:vAlign w:val="center"/>
          </w:tcPr>
          <w:p w14:paraId="55A2F04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6E9D84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341BAE0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4AA7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F1DF7F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计量经济学</w:t>
            </w:r>
          </w:p>
        </w:tc>
        <w:tc>
          <w:tcPr>
            <w:tcW w:w="1950" w:type="dxa"/>
            <w:shd w:val="clear" w:color="auto" w:fill="auto"/>
            <w:vAlign w:val="center"/>
          </w:tcPr>
          <w:p w14:paraId="2BBF9AC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105497</w:t>
            </w:r>
          </w:p>
        </w:tc>
        <w:tc>
          <w:tcPr>
            <w:tcW w:w="705" w:type="dxa"/>
            <w:shd w:val="clear" w:color="auto" w:fill="auto"/>
            <w:vAlign w:val="center"/>
          </w:tcPr>
          <w:p w14:paraId="70A16D0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BE184B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5ADE143">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0A6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8E8558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金融风险管理</w:t>
            </w:r>
          </w:p>
        </w:tc>
        <w:tc>
          <w:tcPr>
            <w:tcW w:w="1950" w:type="dxa"/>
            <w:shd w:val="clear" w:color="auto" w:fill="auto"/>
            <w:vAlign w:val="center"/>
          </w:tcPr>
          <w:p w14:paraId="2425DCD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105498</w:t>
            </w:r>
          </w:p>
        </w:tc>
        <w:tc>
          <w:tcPr>
            <w:tcW w:w="705" w:type="dxa"/>
            <w:shd w:val="clear" w:color="auto" w:fill="auto"/>
            <w:vAlign w:val="center"/>
          </w:tcPr>
          <w:p w14:paraId="5B969BF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3BEA4DD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26B8F54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FCC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143447B">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金融建模</w:t>
            </w:r>
          </w:p>
        </w:tc>
        <w:tc>
          <w:tcPr>
            <w:tcW w:w="1950" w:type="dxa"/>
            <w:shd w:val="clear" w:color="auto" w:fill="auto"/>
            <w:vAlign w:val="center"/>
          </w:tcPr>
          <w:p w14:paraId="4CA6F7B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105500</w:t>
            </w:r>
          </w:p>
        </w:tc>
        <w:tc>
          <w:tcPr>
            <w:tcW w:w="705" w:type="dxa"/>
            <w:shd w:val="clear" w:color="auto" w:fill="auto"/>
            <w:vAlign w:val="center"/>
          </w:tcPr>
          <w:p w14:paraId="3C7A7AA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1BF471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6216CD3D">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B8D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4E96B0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函数型数据分析方法、理论及其应用</w:t>
            </w:r>
          </w:p>
        </w:tc>
        <w:tc>
          <w:tcPr>
            <w:tcW w:w="1950" w:type="dxa"/>
            <w:shd w:val="clear" w:color="auto" w:fill="auto"/>
            <w:vAlign w:val="center"/>
          </w:tcPr>
          <w:p w14:paraId="09BC877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106273</w:t>
            </w:r>
          </w:p>
        </w:tc>
        <w:tc>
          <w:tcPr>
            <w:tcW w:w="705" w:type="dxa"/>
            <w:shd w:val="clear" w:color="auto" w:fill="auto"/>
            <w:vAlign w:val="center"/>
          </w:tcPr>
          <w:p w14:paraId="20A5035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57D31A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5EE613AD">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70B1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A5A906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因果推断</w:t>
            </w:r>
          </w:p>
        </w:tc>
        <w:tc>
          <w:tcPr>
            <w:tcW w:w="1950" w:type="dxa"/>
            <w:shd w:val="clear" w:color="auto" w:fill="auto"/>
            <w:vAlign w:val="center"/>
          </w:tcPr>
          <w:p w14:paraId="0F62FED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106274</w:t>
            </w:r>
          </w:p>
        </w:tc>
        <w:tc>
          <w:tcPr>
            <w:tcW w:w="705" w:type="dxa"/>
            <w:shd w:val="clear" w:color="auto" w:fill="auto"/>
            <w:vAlign w:val="center"/>
          </w:tcPr>
          <w:p w14:paraId="63D81B4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49B7F6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0C749CD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64B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EB6B43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高维数据统计推断</w:t>
            </w:r>
          </w:p>
        </w:tc>
        <w:tc>
          <w:tcPr>
            <w:tcW w:w="1950" w:type="dxa"/>
            <w:shd w:val="clear" w:color="auto" w:fill="auto"/>
            <w:vAlign w:val="center"/>
          </w:tcPr>
          <w:p w14:paraId="722D712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106275</w:t>
            </w:r>
          </w:p>
        </w:tc>
        <w:tc>
          <w:tcPr>
            <w:tcW w:w="705" w:type="dxa"/>
            <w:shd w:val="clear" w:color="auto" w:fill="auto"/>
            <w:vAlign w:val="center"/>
          </w:tcPr>
          <w:p w14:paraId="545A119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1E62ECB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5420B852">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003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BF5A1A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统计思想</w:t>
            </w:r>
          </w:p>
        </w:tc>
        <w:tc>
          <w:tcPr>
            <w:tcW w:w="1950" w:type="dxa"/>
            <w:shd w:val="clear" w:color="auto" w:fill="auto"/>
            <w:vAlign w:val="center"/>
          </w:tcPr>
          <w:p w14:paraId="094853B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100189</w:t>
            </w:r>
          </w:p>
        </w:tc>
        <w:tc>
          <w:tcPr>
            <w:tcW w:w="705" w:type="dxa"/>
            <w:shd w:val="clear" w:color="auto" w:fill="auto"/>
            <w:vAlign w:val="center"/>
          </w:tcPr>
          <w:p w14:paraId="36C0ACE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18B726A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4553196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8F3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E13CCE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抽样技术</w:t>
            </w:r>
          </w:p>
        </w:tc>
        <w:tc>
          <w:tcPr>
            <w:tcW w:w="1950" w:type="dxa"/>
            <w:shd w:val="clear" w:color="auto" w:fill="auto"/>
            <w:vAlign w:val="center"/>
          </w:tcPr>
          <w:p w14:paraId="18A9457D">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101592</w:t>
            </w:r>
          </w:p>
        </w:tc>
        <w:tc>
          <w:tcPr>
            <w:tcW w:w="705" w:type="dxa"/>
            <w:shd w:val="clear" w:color="auto" w:fill="auto"/>
            <w:vAlign w:val="center"/>
          </w:tcPr>
          <w:p w14:paraId="30DB9864">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371EED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74E4CF5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4F79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14F25C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数量金融</w:t>
            </w:r>
          </w:p>
        </w:tc>
        <w:tc>
          <w:tcPr>
            <w:tcW w:w="1950" w:type="dxa"/>
            <w:shd w:val="clear" w:color="auto" w:fill="auto"/>
            <w:vAlign w:val="center"/>
          </w:tcPr>
          <w:p w14:paraId="5468646F">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102039</w:t>
            </w:r>
          </w:p>
        </w:tc>
        <w:tc>
          <w:tcPr>
            <w:tcW w:w="705" w:type="dxa"/>
            <w:shd w:val="clear" w:color="auto" w:fill="auto"/>
            <w:vAlign w:val="center"/>
          </w:tcPr>
          <w:p w14:paraId="43E1D1D0">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93AF58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75EAE5A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F17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B1E983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数据分析与可视化</w:t>
            </w:r>
          </w:p>
        </w:tc>
        <w:tc>
          <w:tcPr>
            <w:tcW w:w="1950" w:type="dxa"/>
            <w:shd w:val="clear" w:color="auto" w:fill="auto"/>
            <w:vAlign w:val="center"/>
          </w:tcPr>
          <w:p w14:paraId="5FC1DB2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103087</w:t>
            </w:r>
          </w:p>
        </w:tc>
        <w:tc>
          <w:tcPr>
            <w:tcW w:w="705" w:type="dxa"/>
            <w:shd w:val="clear" w:color="auto" w:fill="auto"/>
            <w:vAlign w:val="center"/>
          </w:tcPr>
          <w:p w14:paraId="2B01665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FBF3AF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6470EFF">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ADF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3A804F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生存分析</w:t>
            </w:r>
          </w:p>
        </w:tc>
        <w:tc>
          <w:tcPr>
            <w:tcW w:w="1950" w:type="dxa"/>
            <w:shd w:val="clear" w:color="auto" w:fill="auto"/>
            <w:vAlign w:val="center"/>
          </w:tcPr>
          <w:p w14:paraId="0FD32D2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105504</w:t>
            </w:r>
          </w:p>
        </w:tc>
        <w:tc>
          <w:tcPr>
            <w:tcW w:w="705" w:type="dxa"/>
            <w:shd w:val="clear" w:color="auto" w:fill="auto"/>
            <w:vAlign w:val="center"/>
          </w:tcPr>
          <w:p w14:paraId="33781EA4">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23C3B84">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7BC40AC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75CE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B9F8402">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金融优化</w:t>
            </w:r>
          </w:p>
        </w:tc>
        <w:tc>
          <w:tcPr>
            <w:tcW w:w="1950" w:type="dxa"/>
            <w:shd w:val="clear" w:color="auto" w:fill="auto"/>
            <w:vAlign w:val="center"/>
          </w:tcPr>
          <w:p w14:paraId="4198175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106276</w:t>
            </w:r>
          </w:p>
        </w:tc>
        <w:tc>
          <w:tcPr>
            <w:tcW w:w="705" w:type="dxa"/>
            <w:shd w:val="clear" w:color="auto" w:fill="auto"/>
            <w:vAlign w:val="center"/>
          </w:tcPr>
          <w:p w14:paraId="02C463EA">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339AC6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16988FB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698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4824491">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试验设计与观察性研究</w:t>
            </w:r>
          </w:p>
        </w:tc>
        <w:tc>
          <w:tcPr>
            <w:tcW w:w="1950" w:type="dxa"/>
            <w:shd w:val="clear" w:color="auto" w:fill="auto"/>
            <w:vAlign w:val="center"/>
          </w:tcPr>
          <w:p w14:paraId="148D2633">
            <w:pPr>
              <w:pageBreakBefore w:val="0"/>
              <w:widowControl/>
              <w:kinsoku/>
              <w:wordWrap/>
              <w:overflowPunct/>
              <w:topLinePunct w:val="0"/>
              <w:autoSpaceDE/>
              <w:autoSpaceDN/>
              <w:bidi w:val="0"/>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107477</w:t>
            </w:r>
          </w:p>
        </w:tc>
        <w:tc>
          <w:tcPr>
            <w:tcW w:w="705" w:type="dxa"/>
            <w:shd w:val="clear" w:color="auto" w:fill="auto"/>
            <w:vAlign w:val="center"/>
          </w:tcPr>
          <w:p w14:paraId="05FF3CD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BCE7E9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2BDB495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23A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C2D540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统计写作</w:t>
            </w:r>
          </w:p>
        </w:tc>
        <w:tc>
          <w:tcPr>
            <w:tcW w:w="1950" w:type="dxa"/>
            <w:shd w:val="clear" w:color="auto" w:fill="auto"/>
            <w:vAlign w:val="center"/>
          </w:tcPr>
          <w:p w14:paraId="21FE966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103431</w:t>
            </w:r>
          </w:p>
        </w:tc>
        <w:tc>
          <w:tcPr>
            <w:tcW w:w="705" w:type="dxa"/>
            <w:shd w:val="clear" w:color="auto" w:fill="auto"/>
            <w:vAlign w:val="center"/>
          </w:tcPr>
          <w:p w14:paraId="3EDC7D87">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1188" w:type="dxa"/>
            <w:shd w:val="clear" w:color="auto" w:fill="auto"/>
            <w:vAlign w:val="center"/>
          </w:tcPr>
          <w:p w14:paraId="2BC87FE8">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7</w:t>
            </w:r>
          </w:p>
        </w:tc>
        <w:tc>
          <w:tcPr>
            <w:tcW w:w="717" w:type="dxa"/>
            <w:vMerge w:val="continue"/>
            <w:shd w:val="clear" w:color="auto" w:fill="auto"/>
            <w:vAlign w:val="center"/>
          </w:tcPr>
          <w:p w14:paraId="45DFB54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54B6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5C2B67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 xml:space="preserve"> 复变函数</w:t>
            </w:r>
          </w:p>
        </w:tc>
        <w:tc>
          <w:tcPr>
            <w:tcW w:w="1950" w:type="dxa"/>
            <w:shd w:val="clear" w:color="auto" w:fill="auto"/>
            <w:vAlign w:val="center"/>
          </w:tcPr>
          <w:p w14:paraId="19DFB92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103300</w:t>
            </w:r>
          </w:p>
        </w:tc>
        <w:tc>
          <w:tcPr>
            <w:tcW w:w="705" w:type="dxa"/>
            <w:shd w:val="clear" w:color="auto" w:fill="auto"/>
            <w:vAlign w:val="center"/>
          </w:tcPr>
          <w:p w14:paraId="36CF85B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2</w:t>
            </w:r>
          </w:p>
        </w:tc>
        <w:tc>
          <w:tcPr>
            <w:tcW w:w="1188" w:type="dxa"/>
            <w:shd w:val="clear" w:color="auto" w:fill="auto"/>
            <w:vAlign w:val="center"/>
          </w:tcPr>
          <w:p w14:paraId="5249377C">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5DE27BD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762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6268CDE">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 xml:space="preserve"> 统计文献选读</w:t>
            </w:r>
          </w:p>
        </w:tc>
        <w:tc>
          <w:tcPr>
            <w:tcW w:w="1950" w:type="dxa"/>
            <w:shd w:val="clear" w:color="auto" w:fill="auto"/>
            <w:vAlign w:val="center"/>
          </w:tcPr>
          <w:p w14:paraId="0FF6D5B3">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102111</w:t>
            </w:r>
          </w:p>
        </w:tc>
        <w:tc>
          <w:tcPr>
            <w:tcW w:w="705" w:type="dxa"/>
            <w:shd w:val="clear" w:color="auto" w:fill="auto"/>
            <w:vAlign w:val="center"/>
          </w:tcPr>
          <w:p w14:paraId="0B70FE96">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20"/>
                <w:szCs w:val="20"/>
                <w:lang w:bidi="ar"/>
              </w:rPr>
              <w:t>2</w:t>
            </w:r>
          </w:p>
        </w:tc>
        <w:tc>
          <w:tcPr>
            <w:tcW w:w="1188" w:type="dxa"/>
            <w:shd w:val="clear" w:color="auto" w:fill="auto"/>
            <w:vAlign w:val="center"/>
          </w:tcPr>
          <w:p w14:paraId="08E369B5">
            <w:pPr>
              <w:pageBreakBefore w:val="0"/>
              <w:widowControl/>
              <w:kinsoku/>
              <w:wordWrap/>
              <w:overflowPunct/>
              <w:topLinePunct w:val="0"/>
              <w:autoSpaceDE/>
              <w:autoSpaceDN/>
              <w:bidi w:val="0"/>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7</w:t>
            </w:r>
          </w:p>
        </w:tc>
        <w:tc>
          <w:tcPr>
            <w:tcW w:w="717" w:type="dxa"/>
            <w:vMerge w:val="continue"/>
            <w:shd w:val="clear" w:color="auto" w:fill="auto"/>
            <w:vAlign w:val="center"/>
          </w:tcPr>
          <w:p w14:paraId="175AF47C">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bl>
    <w:p w14:paraId="26C953AB">
      <w:pPr>
        <w:pageBreakBefore w:val="0"/>
        <w:kinsoku/>
        <w:wordWrap/>
        <w:overflowPunct/>
        <w:topLinePunct w:val="0"/>
        <w:autoSpaceDE/>
        <w:autoSpaceDN/>
        <w:bidi w:val="0"/>
        <w:snapToGrid/>
        <w:outlineLvl w:val="9"/>
        <w:rPr>
          <w:color w:val="auto"/>
          <w:szCs w:val="21"/>
        </w:rPr>
      </w:pPr>
    </w:p>
    <w:p w14:paraId="149B829E">
      <w:pPr>
        <w:pageBreakBefore w:val="0"/>
        <w:kinsoku/>
        <w:wordWrap/>
        <w:overflowPunct/>
        <w:topLinePunct w:val="0"/>
        <w:autoSpaceDE/>
        <w:autoSpaceDN/>
        <w:bidi w:val="0"/>
        <w:snapToGrid/>
        <w:ind w:firstLine="420" w:firstLineChars="200"/>
        <w:outlineLvl w:val="9"/>
        <w:rPr>
          <w:color w:val="auto"/>
          <w:szCs w:val="21"/>
        </w:rPr>
      </w:pPr>
      <w:r>
        <w:rPr>
          <w:rFonts w:hint="eastAsia"/>
          <w:color w:val="auto"/>
          <w:szCs w:val="21"/>
        </w:rPr>
        <w:t>（3）跨学科选修</w:t>
      </w:r>
      <w:r>
        <w:rPr>
          <w:rFonts w:hint="eastAsia"/>
          <w:color w:val="auto"/>
          <w:szCs w:val="21"/>
          <w:lang w:val="en-US" w:eastAsia="zh-CN"/>
        </w:rPr>
        <w:t>修读建议</w:t>
      </w:r>
      <w:r>
        <w:rPr>
          <w:rFonts w:hint="eastAsia"/>
          <w:color w:val="auto"/>
          <w:szCs w:val="21"/>
        </w:rPr>
        <w:t>（8学分，包含国际课程1学分）</w:t>
      </w:r>
    </w:p>
    <w:p w14:paraId="2CEEA36B">
      <w:pPr>
        <w:pageBreakBefore w:val="0"/>
        <w:kinsoku/>
        <w:wordWrap/>
        <w:overflowPunct/>
        <w:topLinePunct w:val="0"/>
        <w:autoSpaceDE/>
        <w:autoSpaceDN/>
        <w:bidi w:val="0"/>
        <w:snapToGrid/>
        <w:ind w:firstLine="420" w:firstLineChars="200"/>
        <w:outlineLvl w:val="9"/>
        <w:rPr>
          <w:color w:val="auto"/>
          <w:szCs w:val="21"/>
        </w:rPr>
      </w:pPr>
      <w:r>
        <w:rPr>
          <w:rFonts w:hint="eastAsia"/>
          <w:color w:val="auto"/>
          <w:szCs w:val="21"/>
          <w:lang w:val="en-US" w:eastAsia="zh-CN"/>
        </w:rPr>
        <w:t>推荐</w:t>
      </w:r>
      <w:r>
        <w:rPr>
          <w:color w:val="auto"/>
          <w:szCs w:val="21"/>
        </w:rPr>
        <w:t>课程</w:t>
      </w:r>
      <w:r>
        <w:rPr>
          <w:rFonts w:hint="eastAsia"/>
          <w:color w:val="auto"/>
          <w:szCs w:val="21"/>
        </w:rPr>
        <w:t>清单如下：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950"/>
        <w:gridCol w:w="720"/>
        <w:gridCol w:w="1173"/>
        <w:gridCol w:w="717"/>
      </w:tblGrid>
      <w:tr w14:paraId="3293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5A00064D">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950" w:type="dxa"/>
            <w:vAlign w:val="center"/>
          </w:tcPr>
          <w:p w14:paraId="4DFEAE4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720" w:type="dxa"/>
            <w:vAlign w:val="center"/>
          </w:tcPr>
          <w:p w14:paraId="3E70F917">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73" w:type="dxa"/>
            <w:vAlign w:val="center"/>
          </w:tcPr>
          <w:p w14:paraId="0F10C7A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11C7A1B8">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7230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8490303">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微观经济学</w:t>
            </w:r>
          </w:p>
        </w:tc>
        <w:tc>
          <w:tcPr>
            <w:tcW w:w="1950" w:type="dxa"/>
            <w:shd w:val="clear" w:color="auto" w:fill="auto"/>
            <w:vAlign w:val="center"/>
          </w:tcPr>
          <w:p w14:paraId="54058040">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103430</w:t>
            </w:r>
          </w:p>
        </w:tc>
        <w:tc>
          <w:tcPr>
            <w:tcW w:w="720" w:type="dxa"/>
            <w:shd w:val="clear" w:color="auto" w:fill="auto"/>
            <w:vAlign w:val="center"/>
          </w:tcPr>
          <w:p w14:paraId="7216023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51611369">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717" w:type="dxa"/>
            <w:vMerge w:val="restart"/>
            <w:shd w:val="clear" w:color="auto" w:fill="auto"/>
            <w:vAlign w:val="center"/>
          </w:tcPr>
          <w:p w14:paraId="14328BF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选修</w:t>
            </w:r>
          </w:p>
        </w:tc>
      </w:tr>
      <w:tr w14:paraId="1B86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AC574DE">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宏观经济学</w:t>
            </w:r>
          </w:p>
        </w:tc>
        <w:tc>
          <w:tcPr>
            <w:tcW w:w="1950" w:type="dxa"/>
            <w:shd w:val="clear" w:color="auto" w:fill="auto"/>
            <w:vAlign w:val="center"/>
          </w:tcPr>
          <w:p w14:paraId="14213527">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100096</w:t>
            </w:r>
          </w:p>
        </w:tc>
        <w:tc>
          <w:tcPr>
            <w:tcW w:w="720" w:type="dxa"/>
            <w:shd w:val="clear" w:color="auto" w:fill="auto"/>
            <w:vAlign w:val="center"/>
          </w:tcPr>
          <w:p w14:paraId="5900DE1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1155697C">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tcPr>
          <w:p w14:paraId="14BC6BF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43E8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3D5C963">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管理学</w:t>
            </w:r>
          </w:p>
        </w:tc>
        <w:tc>
          <w:tcPr>
            <w:tcW w:w="1950" w:type="dxa"/>
            <w:shd w:val="clear" w:color="auto" w:fill="auto"/>
            <w:vAlign w:val="center"/>
          </w:tcPr>
          <w:p w14:paraId="3B9B7AF6">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101271</w:t>
            </w:r>
          </w:p>
        </w:tc>
        <w:tc>
          <w:tcPr>
            <w:tcW w:w="720" w:type="dxa"/>
            <w:shd w:val="clear" w:color="auto" w:fill="auto"/>
            <w:vAlign w:val="center"/>
          </w:tcPr>
          <w:p w14:paraId="56C8F859">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76EC450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tcPr>
          <w:p w14:paraId="6120D716">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197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2EBDBF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会计学</w:t>
            </w:r>
          </w:p>
        </w:tc>
        <w:tc>
          <w:tcPr>
            <w:tcW w:w="1950" w:type="dxa"/>
            <w:shd w:val="clear" w:color="auto" w:fill="auto"/>
            <w:vAlign w:val="center"/>
          </w:tcPr>
          <w:p w14:paraId="6D61991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101376</w:t>
            </w:r>
          </w:p>
        </w:tc>
        <w:tc>
          <w:tcPr>
            <w:tcW w:w="720" w:type="dxa"/>
            <w:shd w:val="clear" w:color="auto" w:fill="auto"/>
            <w:vAlign w:val="center"/>
          </w:tcPr>
          <w:p w14:paraId="543C1BA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20FE4E0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57054E3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4D21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F2C263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政治经济学</w:t>
            </w:r>
          </w:p>
        </w:tc>
        <w:tc>
          <w:tcPr>
            <w:tcW w:w="1950" w:type="dxa"/>
            <w:shd w:val="clear" w:color="auto" w:fill="auto"/>
            <w:vAlign w:val="center"/>
          </w:tcPr>
          <w:p w14:paraId="4BC20EA0">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101619</w:t>
            </w:r>
          </w:p>
        </w:tc>
        <w:tc>
          <w:tcPr>
            <w:tcW w:w="720" w:type="dxa"/>
            <w:shd w:val="clear" w:color="auto" w:fill="auto"/>
            <w:vAlign w:val="center"/>
          </w:tcPr>
          <w:p w14:paraId="6EB7F9E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22FA4EF6">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77B3F095">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51E4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66C0A4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公司金融</w:t>
            </w:r>
          </w:p>
        </w:tc>
        <w:tc>
          <w:tcPr>
            <w:tcW w:w="1950" w:type="dxa"/>
            <w:shd w:val="clear" w:color="auto" w:fill="auto"/>
            <w:vAlign w:val="center"/>
          </w:tcPr>
          <w:p w14:paraId="49D2382E">
            <w:pPr>
              <w:pageBreakBefore w:val="0"/>
              <w:widowControl/>
              <w:kinsoku/>
              <w:wordWrap/>
              <w:overflowPunct/>
              <w:topLinePunct w:val="0"/>
              <w:autoSpaceDE/>
              <w:autoSpaceDN/>
              <w:bidi w:val="0"/>
              <w:snapToGrid/>
              <w:jc w:val="center"/>
              <w:textAlignment w:val="center"/>
              <w:outlineLvl w:val="9"/>
              <w:rPr>
                <w:rFonts w:hint="default" w:ascii="等线" w:hAnsi="等线" w:eastAsia="等线" w:cs="等线"/>
                <w:color w:val="auto"/>
                <w:kern w:val="0"/>
                <w:sz w:val="18"/>
                <w:szCs w:val="18"/>
                <w:lang w:val="en-US" w:eastAsia="zh-CN" w:bidi="ar"/>
              </w:rPr>
            </w:pPr>
            <w:r>
              <w:rPr>
                <w:rFonts w:hint="eastAsia" w:ascii="等线" w:hAnsi="等线" w:eastAsia="等线" w:cs="等线"/>
                <w:color w:val="auto"/>
                <w:kern w:val="0"/>
                <w:sz w:val="18"/>
                <w:szCs w:val="18"/>
                <w:lang w:val="en-US" w:eastAsia="zh-CN" w:bidi="ar"/>
              </w:rPr>
              <w:t>101110</w:t>
            </w:r>
          </w:p>
        </w:tc>
        <w:tc>
          <w:tcPr>
            <w:tcW w:w="720" w:type="dxa"/>
            <w:shd w:val="clear" w:color="auto" w:fill="auto"/>
            <w:vAlign w:val="center"/>
          </w:tcPr>
          <w:p w14:paraId="20C20B03">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4F2D44C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16B5A76C">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EDD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939E3FC">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货币银行学</w:t>
            </w:r>
          </w:p>
        </w:tc>
        <w:tc>
          <w:tcPr>
            <w:tcW w:w="1950" w:type="dxa"/>
            <w:shd w:val="clear" w:color="auto" w:fill="auto"/>
            <w:vAlign w:val="center"/>
          </w:tcPr>
          <w:p w14:paraId="4CEC21F3">
            <w:pPr>
              <w:pageBreakBefore w:val="0"/>
              <w:widowControl/>
              <w:kinsoku/>
              <w:wordWrap/>
              <w:overflowPunct/>
              <w:topLinePunct w:val="0"/>
              <w:autoSpaceDE/>
              <w:autoSpaceDN/>
              <w:bidi w:val="0"/>
              <w:snapToGrid/>
              <w:jc w:val="center"/>
              <w:textAlignment w:val="center"/>
              <w:outlineLvl w:val="9"/>
              <w:rPr>
                <w:rFonts w:hint="default" w:ascii="等线" w:hAnsi="等线" w:eastAsia="等线" w:cs="等线"/>
                <w:color w:val="auto"/>
                <w:kern w:val="0"/>
                <w:sz w:val="18"/>
                <w:szCs w:val="18"/>
                <w:lang w:val="en-US" w:eastAsia="zh-CN" w:bidi="ar"/>
              </w:rPr>
            </w:pPr>
            <w:r>
              <w:rPr>
                <w:rFonts w:hint="eastAsia" w:ascii="等线" w:hAnsi="等线" w:eastAsia="等线" w:cs="等线"/>
                <w:color w:val="auto"/>
                <w:kern w:val="0"/>
                <w:sz w:val="18"/>
                <w:szCs w:val="18"/>
                <w:lang w:val="en-US" w:eastAsia="zh-CN" w:bidi="ar"/>
              </w:rPr>
              <w:t>107385</w:t>
            </w:r>
          </w:p>
        </w:tc>
        <w:tc>
          <w:tcPr>
            <w:tcW w:w="720" w:type="dxa"/>
            <w:shd w:val="clear" w:color="auto" w:fill="auto"/>
            <w:vAlign w:val="center"/>
          </w:tcPr>
          <w:p w14:paraId="19DF343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22E383D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0D44AE3D">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9A0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17AD6B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投资学</w:t>
            </w:r>
          </w:p>
        </w:tc>
        <w:tc>
          <w:tcPr>
            <w:tcW w:w="1950" w:type="dxa"/>
            <w:shd w:val="clear" w:color="auto" w:fill="auto"/>
            <w:vAlign w:val="center"/>
          </w:tcPr>
          <w:p w14:paraId="008C51E0">
            <w:pPr>
              <w:pageBreakBefore w:val="0"/>
              <w:widowControl/>
              <w:kinsoku/>
              <w:wordWrap/>
              <w:overflowPunct/>
              <w:topLinePunct w:val="0"/>
              <w:autoSpaceDE/>
              <w:autoSpaceDN/>
              <w:bidi w:val="0"/>
              <w:snapToGrid/>
              <w:jc w:val="center"/>
              <w:textAlignment w:val="center"/>
              <w:outlineLvl w:val="9"/>
              <w:rPr>
                <w:rFonts w:hint="default" w:ascii="等线" w:hAnsi="等线" w:eastAsia="等线" w:cs="等线"/>
                <w:color w:val="auto"/>
                <w:kern w:val="0"/>
                <w:sz w:val="18"/>
                <w:szCs w:val="18"/>
                <w:lang w:val="en-US" w:eastAsia="zh-CN" w:bidi="ar"/>
              </w:rPr>
            </w:pPr>
            <w:r>
              <w:rPr>
                <w:rFonts w:hint="eastAsia" w:ascii="等线" w:hAnsi="等线" w:eastAsia="等线" w:cs="等线"/>
                <w:color w:val="auto"/>
                <w:kern w:val="0"/>
                <w:sz w:val="18"/>
                <w:szCs w:val="18"/>
                <w:lang w:val="en-US" w:eastAsia="zh-CN" w:bidi="ar"/>
              </w:rPr>
              <w:t>100054</w:t>
            </w:r>
          </w:p>
        </w:tc>
        <w:tc>
          <w:tcPr>
            <w:tcW w:w="720" w:type="dxa"/>
            <w:shd w:val="clear" w:color="auto" w:fill="auto"/>
            <w:vAlign w:val="center"/>
          </w:tcPr>
          <w:p w14:paraId="222DA99C">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4CD09818">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4</w:t>
            </w:r>
          </w:p>
        </w:tc>
        <w:tc>
          <w:tcPr>
            <w:tcW w:w="717" w:type="dxa"/>
            <w:vMerge w:val="continue"/>
            <w:shd w:val="clear" w:color="auto" w:fill="auto"/>
            <w:vAlign w:val="center"/>
          </w:tcPr>
          <w:p w14:paraId="7967AE9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8E4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88E9B3D">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数据库</w:t>
            </w:r>
          </w:p>
        </w:tc>
        <w:tc>
          <w:tcPr>
            <w:tcW w:w="1950" w:type="dxa"/>
            <w:shd w:val="clear" w:color="auto" w:fill="auto"/>
            <w:vAlign w:val="center"/>
          </w:tcPr>
          <w:p w14:paraId="21E64030">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105508</w:t>
            </w:r>
          </w:p>
        </w:tc>
        <w:tc>
          <w:tcPr>
            <w:tcW w:w="720" w:type="dxa"/>
            <w:shd w:val="clear" w:color="auto" w:fill="auto"/>
            <w:vAlign w:val="center"/>
          </w:tcPr>
          <w:p w14:paraId="193940C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4477469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4</w:t>
            </w:r>
          </w:p>
        </w:tc>
        <w:tc>
          <w:tcPr>
            <w:tcW w:w="717" w:type="dxa"/>
            <w:vMerge w:val="continue"/>
            <w:shd w:val="clear" w:color="auto" w:fill="auto"/>
            <w:vAlign w:val="center"/>
          </w:tcPr>
          <w:p w14:paraId="2EDB29EE">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67E3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9CE8D0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贝叶斯决策</w:t>
            </w:r>
          </w:p>
        </w:tc>
        <w:tc>
          <w:tcPr>
            <w:tcW w:w="1950" w:type="dxa"/>
            <w:shd w:val="clear" w:color="auto" w:fill="auto"/>
            <w:vAlign w:val="center"/>
          </w:tcPr>
          <w:p w14:paraId="640432D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100202</w:t>
            </w:r>
          </w:p>
        </w:tc>
        <w:tc>
          <w:tcPr>
            <w:tcW w:w="720" w:type="dxa"/>
            <w:shd w:val="clear" w:color="auto" w:fill="auto"/>
            <w:vAlign w:val="center"/>
          </w:tcPr>
          <w:p w14:paraId="101EFC8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FCBB200">
            <w:pPr>
              <w:pageBreakBefore w:val="0"/>
              <w:widowControl/>
              <w:kinsoku/>
              <w:wordWrap/>
              <w:overflowPunct/>
              <w:topLinePunct w:val="0"/>
              <w:autoSpaceDE/>
              <w:autoSpaceDN/>
              <w:bidi w:val="0"/>
              <w:snapToGrid/>
              <w:jc w:val="center"/>
              <w:textAlignment w:val="center"/>
              <w:outlineLvl w:val="9"/>
              <w:rPr>
                <w:rFonts w:hint="eastAsia" w:ascii="等线" w:hAnsi="等线" w:eastAsia="等线" w:cs="等线"/>
                <w:color w:val="auto"/>
                <w:kern w:val="0"/>
                <w:sz w:val="18"/>
                <w:szCs w:val="18"/>
                <w:lang w:eastAsia="zh-CN" w:bidi="ar"/>
              </w:rPr>
            </w:pPr>
            <w:r>
              <w:rPr>
                <w:rFonts w:hint="eastAsia" w:ascii="等线" w:hAnsi="等线" w:eastAsia="等线" w:cs="等线"/>
                <w:color w:val="FF0000"/>
                <w:kern w:val="0"/>
                <w:sz w:val="18"/>
                <w:szCs w:val="18"/>
                <w:lang w:val="en-US" w:eastAsia="zh-CN" w:bidi="ar"/>
              </w:rPr>
              <w:t>6</w:t>
            </w:r>
          </w:p>
        </w:tc>
        <w:tc>
          <w:tcPr>
            <w:tcW w:w="717" w:type="dxa"/>
            <w:vMerge w:val="continue"/>
            <w:shd w:val="clear" w:color="auto" w:fill="auto"/>
            <w:vAlign w:val="center"/>
          </w:tcPr>
          <w:p w14:paraId="14785862">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037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AAAE31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属性数据分析</w:t>
            </w:r>
          </w:p>
        </w:tc>
        <w:tc>
          <w:tcPr>
            <w:tcW w:w="1950" w:type="dxa"/>
            <w:shd w:val="clear" w:color="auto" w:fill="auto"/>
            <w:vAlign w:val="center"/>
          </w:tcPr>
          <w:p w14:paraId="28D7113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100937</w:t>
            </w:r>
          </w:p>
        </w:tc>
        <w:tc>
          <w:tcPr>
            <w:tcW w:w="720" w:type="dxa"/>
            <w:shd w:val="clear" w:color="auto" w:fill="auto"/>
            <w:vAlign w:val="center"/>
          </w:tcPr>
          <w:p w14:paraId="5DBB803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7D32514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5</w:t>
            </w:r>
          </w:p>
        </w:tc>
        <w:tc>
          <w:tcPr>
            <w:tcW w:w="717" w:type="dxa"/>
            <w:vMerge w:val="continue"/>
            <w:shd w:val="clear" w:color="auto" w:fill="auto"/>
            <w:vAlign w:val="center"/>
          </w:tcPr>
          <w:p w14:paraId="0E663EA9">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7E9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95C53C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大数据及其在经济领域的应用</w:t>
            </w:r>
          </w:p>
        </w:tc>
        <w:tc>
          <w:tcPr>
            <w:tcW w:w="1950" w:type="dxa"/>
            <w:shd w:val="clear" w:color="auto" w:fill="auto"/>
            <w:vAlign w:val="center"/>
          </w:tcPr>
          <w:p w14:paraId="560682C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102336</w:t>
            </w:r>
          </w:p>
        </w:tc>
        <w:tc>
          <w:tcPr>
            <w:tcW w:w="720" w:type="dxa"/>
            <w:shd w:val="clear" w:color="auto" w:fill="auto"/>
            <w:vAlign w:val="center"/>
          </w:tcPr>
          <w:p w14:paraId="52D51BA9">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549301C7">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5</w:t>
            </w:r>
          </w:p>
        </w:tc>
        <w:tc>
          <w:tcPr>
            <w:tcW w:w="717" w:type="dxa"/>
            <w:vMerge w:val="continue"/>
            <w:shd w:val="clear" w:color="auto" w:fill="auto"/>
            <w:vAlign w:val="center"/>
          </w:tcPr>
          <w:p w14:paraId="26B811E7">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1497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B9E37C6">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社会保障学</w:t>
            </w:r>
          </w:p>
        </w:tc>
        <w:tc>
          <w:tcPr>
            <w:tcW w:w="1950" w:type="dxa"/>
            <w:shd w:val="clear" w:color="auto" w:fill="auto"/>
            <w:vAlign w:val="center"/>
          </w:tcPr>
          <w:p w14:paraId="7FCEA0FC">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100016</w:t>
            </w:r>
          </w:p>
        </w:tc>
        <w:tc>
          <w:tcPr>
            <w:tcW w:w="720" w:type="dxa"/>
            <w:shd w:val="clear" w:color="auto" w:fill="auto"/>
            <w:vAlign w:val="center"/>
          </w:tcPr>
          <w:p w14:paraId="3502DFB4">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4A4CD57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6</w:t>
            </w:r>
          </w:p>
        </w:tc>
        <w:tc>
          <w:tcPr>
            <w:tcW w:w="717" w:type="dxa"/>
            <w:vMerge w:val="continue"/>
            <w:shd w:val="clear" w:color="auto" w:fill="auto"/>
            <w:vAlign w:val="center"/>
          </w:tcPr>
          <w:p w14:paraId="00A6A867">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5995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6B160B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财政学</w:t>
            </w:r>
          </w:p>
        </w:tc>
        <w:tc>
          <w:tcPr>
            <w:tcW w:w="1950" w:type="dxa"/>
            <w:shd w:val="clear" w:color="auto" w:fill="auto"/>
            <w:vAlign w:val="center"/>
          </w:tcPr>
          <w:p w14:paraId="5DD893AD">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102041</w:t>
            </w:r>
          </w:p>
        </w:tc>
        <w:tc>
          <w:tcPr>
            <w:tcW w:w="720" w:type="dxa"/>
            <w:shd w:val="clear" w:color="auto" w:fill="auto"/>
            <w:vAlign w:val="center"/>
          </w:tcPr>
          <w:p w14:paraId="58A63CB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7C73E0B7">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6</w:t>
            </w:r>
          </w:p>
        </w:tc>
        <w:tc>
          <w:tcPr>
            <w:tcW w:w="717" w:type="dxa"/>
            <w:vMerge w:val="continue"/>
            <w:shd w:val="clear" w:color="auto" w:fill="auto"/>
            <w:vAlign w:val="center"/>
          </w:tcPr>
          <w:p w14:paraId="0480BB1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6EC7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D0040F8">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统计预测与决策</w:t>
            </w:r>
          </w:p>
        </w:tc>
        <w:tc>
          <w:tcPr>
            <w:tcW w:w="1950" w:type="dxa"/>
            <w:shd w:val="clear" w:color="auto" w:fill="auto"/>
            <w:vAlign w:val="center"/>
          </w:tcPr>
          <w:p w14:paraId="6DC9535E">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103256</w:t>
            </w:r>
          </w:p>
        </w:tc>
        <w:tc>
          <w:tcPr>
            <w:tcW w:w="720" w:type="dxa"/>
            <w:shd w:val="clear" w:color="auto" w:fill="auto"/>
            <w:vAlign w:val="center"/>
          </w:tcPr>
          <w:p w14:paraId="5F901ED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36FC8C0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7</w:t>
            </w:r>
          </w:p>
        </w:tc>
        <w:tc>
          <w:tcPr>
            <w:tcW w:w="717" w:type="dxa"/>
            <w:vMerge w:val="continue"/>
            <w:shd w:val="clear" w:color="auto" w:fill="auto"/>
            <w:vAlign w:val="center"/>
          </w:tcPr>
          <w:p w14:paraId="1193D10B">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2D31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C4F33FE">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 xml:space="preserve"> 文本挖掘技术</w:t>
            </w:r>
          </w:p>
        </w:tc>
        <w:tc>
          <w:tcPr>
            <w:tcW w:w="1950" w:type="dxa"/>
            <w:shd w:val="clear" w:color="auto" w:fill="auto"/>
            <w:vAlign w:val="center"/>
          </w:tcPr>
          <w:p w14:paraId="358A7A68">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105510</w:t>
            </w:r>
          </w:p>
        </w:tc>
        <w:tc>
          <w:tcPr>
            <w:tcW w:w="720" w:type="dxa"/>
            <w:shd w:val="clear" w:color="auto" w:fill="auto"/>
            <w:vAlign w:val="center"/>
          </w:tcPr>
          <w:p w14:paraId="1C86A73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74CAEFF4">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7</w:t>
            </w:r>
          </w:p>
        </w:tc>
        <w:tc>
          <w:tcPr>
            <w:tcW w:w="717" w:type="dxa"/>
            <w:vMerge w:val="continue"/>
            <w:shd w:val="clear" w:color="auto" w:fill="auto"/>
            <w:vAlign w:val="center"/>
          </w:tcPr>
          <w:p w14:paraId="28645C34">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3F1E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07A187D">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计算机视觉</w:t>
            </w:r>
          </w:p>
        </w:tc>
        <w:tc>
          <w:tcPr>
            <w:tcW w:w="1950" w:type="dxa"/>
            <w:shd w:val="clear" w:color="auto" w:fill="auto"/>
            <w:vAlign w:val="center"/>
          </w:tcPr>
          <w:p w14:paraId="170A6408">
            <w:pPr>
              <w:pageBreakBefore w:val="0"/>
              <w:widowControl/>
              <w:kinsoku/>
              <w:wordWrap/>
              <w:overflowPunct/>
              <w:topLinePunct w:val="0"/>
              <w:autoSpaceDE/>
              <w:autoSpaceDN/>
              <w:bidi w:val="0"/>
              <w:snapToGrid/>
              <w:jc w:val="center"/>
              <w:textAlignment w:val="center"/>
              <w:outlineLvl w:val="9"/>
              <w:rPr>
                <w:rFonts w:hint="default" w:ascii="等线" w:hAnsi="等线" w:eastAsia="等线" w:cs="等线"/>
                <w:color w:val="auto"/>
                <w:kern w:val="0"/>
                <w:sz w:val="18"/>
                <w:szCs w:val="18"/>
                <w:lang w:val="en-US" w:eastAsia="zh-CN" w:bidi="ar"/>
              </w:rPr>
            </w:pPr>
            <w:r>
              <w:rPr>
                <w:rFonts w:hint="eastAsia" w:ascii="等线" w:hAnsi="等线" w:eastAsia="等线" w:cs="等线"/>
                <w:color w:val="auto"/>
                <w:kern w:val="0"/>
                <w:sz w:val="18"/>
                <w:szCs w:val="18"/>
                <w:lang w:val="en-US" w:eastAsia="zh-CN" w:bidi="ar"/>
              </w:rPr>
              <w:t>107478</w:t>
            </w:r>
          </w:p>
        </w:tc>
        <w:tc>
          <w:tcPr>
            <w:tcW w:w="720" w:type="dxa"/>
            <w:shd w:val="clear" w:color="auto" w:fill="auto"/>
            <w:vAlign w:val="center"/>
          </w:tcPr>
          <w:p w14:paraId="04AC3AB0">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5E5412C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7</w:t>
            </w:r>
          </w:p>
        </w:tc>
        <w:tc>
          <w:tcPr>
            <w:tcW w:w="717" w:type="dxa"/>
            <w:vMerge w:val="continue"/>
            <w:shd w:val="clear" w:color="auto" w:fill="auto"/>
            <w:vAlign w:val="center"/>
          </w:tcPr>
          <w:p w14:paraId="5A606561">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r w14:paraId="6606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430C430">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国际课程</w:t>
            </w:r>
          </w:p>
        </w:tc>
        <w:tc>
          <w:tcPr>
            <w:tcW w:w="1950" w:type="dxa"/>
            <w:shd w:val="clear" w:color="auto" w:fill="auto"/>
            <w:vAlign w:val="center"/>
          </w:tcPr>
          <w:p w14:paraId="5DE3055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w:t>
            </w:r>
          </w:p>
        </w:tc>
        <w:tc>
          <w:tcPr>
            <w:tcW w:w="720" w:type="dxa"/>
            <w:shd w:val="clear" w:color="auto" w:fill="auto"/>
            <w:vAlign w:val="center"/>
          </w:tcPr>
          <w:p w14:paraId="69515C6E">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1</w:t>
            </w:r>
          </w:p>
        </w:tc>
        <w:tc>
          <w:tcPr>
            <w:tcW w:w="1173" w:type="dxa"/>
            <w:shd w:val="clear" w:color="auto" w:fill="auto"/>
            <w:vAlign w:val="center"/>
          </w:tcPr>
          <w:p w14:paraId="7153E922">
            <w:pPr>
              <w:pageBreakBefore w:val="0"/>
              <w:kinsoku/>
              <w:wordWrap/>
              <w:overflowPunct/>
              <w:topLinePunct w:val="0"/>
              <w:autoSpaceDE/>
              <w:autoSpaceDN/>
              <w:bidi w:val="0"/>
              <w:snapToGrid/>
              <w:jc w:val="center"/>
              <w:outlineLvl w:val="9"/>
              <w:rPr>
                <w:rFonts w:ascii="黑体" w:hAnsi="黑体" w:eastAsia="黑体" w:cs="黑体"/>
                <w:color w:val="auto"/>
                <w:szCs w:val="21"/>
              </w:rPr>
            </w:pPr>
            <w:r>
              <w:rPr>
                <w:rFonts w:hint="eastAsia" w:ascii="黑体" w:hAnsi="黑体" w:eastAsia="黑体" w:cs="黑体"/>
                <w:color w:val="auto"/>
                <w:szCs w:val="21"/>
              </w:rPr>
              <w:t>暑期</w:t>
            </w:r>
          </w:p>
        </w:tc>
        <w:tc>
          <w:tcPr>
            <w:tcW w:w="717" w:type="dxa"/>
            <w:vMerge w:val="continue"/>
            <w:shd w:val="clear" w:color="auto" w:fill="auto"/>
            <w:vAlign w:val="center"/>
          </w:tcPr>
          <w:p w14:paraId="3B23C340">
            <w:pPr>
              <w:pageBreakBefore w:val="0"/>
              <w:kinsoku/>
              <w:wordWrap/>
              <w:overflowPunct/>
              <w:topLinePunct w:val="0"/>
              <w:autoSpaceDE/>
              <w:autoSpaceDN/>
              <w:bidi w:val="0"/>
              <w:snapToGrid/>
              <w:jc w:val="center"/>
              <w:outlineLvl w:val="9"/>
              <w:rPr>
                <w:rFonts w:ascii="黑体" w:hAnsi="黑体" w:eastAsia="黑体" w:cs="黑体"/>
                <w:b/>
                <w:bCs/>
                <w:color w:val="auto"/>
                <w:szCs w:val="21"/>
              </w:rPr>
            </w:pPr>
          </w:p>
        </w:tc>
      </w:tr>
    </w:tbl>
    <w:p w14:paraId="17B286EE">
      <w:pPr>
        <w:pageBreakBefore w:val="0"/>
        <w:kinsoku/>
        <w:wordWrap/>
        <w:overflowPunct/>
        <w:topLinePunct w:val="0"/>
        <w:autoSpaceDE/>
        <w:autoSpaceDN/>
        <w:bidi w:val="0"/>
        <w:snapToGrid/>
        <w:outlineLvl w:val="9"/>
        <w:rPr>
          <w:rFonts w:asciiTheme="minorHAnsi" w:hAnsiTheme="minorHAnsi" w:eastAsiaTheme="minorEastAsia" w:cstheme="minorBidi"/>
          <w:color w:val="auto"/>
          <w:szCs w:val="21"/>
        </w:rPr>
      </w:pPr>
    </w:p>
    <w:p w14:paraId="36EF18AD">
      <w:pPr>
        <w:pageBreakBefore w:val="0"/>
        <w:kinsoku/>
        <w:wordWrap/>
        <w:overflowPunct/>
        <w:topLinePunct w:val="0"/>
        <w:autoSpaceDE/>
        <w:autoSpaceDN/>
        <w:bidi w:val="0"/>
        <w:snapToGrid/>
        <w:ind w:firstLine="420" w:firstLineChars="200"/>
        <w:outlineLvl w:val="9"/>
        <w:rPr>
          <w:color w:val="auto"/>
          <w:szCs w:val="21"/>
          <w:highlight w:val="red"/>
        </w:rPr>
      </w:pPr>
      <w:r>
        <w:rPr>
          <w:rFonts w:hint="eastAsia" w:asciiTheme="minorHAnsi" w:hAnsiTheme="minorHAnsi" w:eastAsiaTheme="minorEastAsia" w:cstheme="minorBidi"/>
          <w:color w:val="auto"/>
          <w:szCs w:val="21"/>
        </w:rPr>
        <w:t>（</w:t>
      </w:r>
      <w:r>
        <w:rPr>
          <w:rFonts w:hint="eastAsia" w:asciiTheme="minorHAnsi" w:hAnsiTheme="minorHAnsi" w:eastAsiaTheme="minorEastAsia" w:cstheme="minorBidi"/>
          <w:color w:val="auto"/>
          <w:szCs w:val="21"/>
          <w:lang w:val="en-US" w:eastAsia="zh-CN"/>
        </w:rPr>
        <w:t>4</w:t>
      </w:r>
      <w:r>
        <w:rPr>
          <w:rFonts w:hint="eastAsia" w:asciiTheme="minorHAnsi" w:hAnsiTheme="minorHAnsi" w:eastAsiaTheme="minorEastAsia" w:cstheme="minorBidi"/>
          <w:color w:val="auto"/>
          <w:szCs w:val="21"/>
        </w:rPr>
        <w:t>）</w:t>
      </w:r>
      <w:r>
        <w:rPr>
          <w:rFonts w:hint="eastAsia"/>
          <w:color w:val="auto"/>
          <w:szCs w:val="21"/>
        </w:rPr>
        <w:t>科创训练认定要求（2学分）</w:t>
      </w:r>
    </w:p>
    <w:p w14:paraId="0D9271E1">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参照《上海财经大学本科生第二课堂(实践教育)学分认定及实施办法》中“学术报告</w:t>
      </w:r>
      <w:r>
        <w:rPr>
          <w:rFonts w:hint="eastAsia" w:ascii="华文中宋" w:hAnsi="华文中宋" w:eastAsia="华文中宋" w:cs="华文中宋"/>
          <w:color w:val="auto"/>
          <w:kern w:val="0"/>
          <w:szCs w:val="21"/>
        </w:rPr>
        <w:br w:type="textWrapping"/>
      </w:r>
      <w:r>
        <w:rPr>
          <w:rFonts w:hint="eastAsia" w:ascii="华文中宋" w:hAnsi="华文中宋" w:eastAsia="华文中宋" w:cs="华文中宋"/>
          <w:color w:val="auto"/>
          <w:kern w:val="0"/>
          <w:szCs w:val="21"/>
        </w:rPr>
        <w:t>与讲座类”、“创新创业与科研类”学分获取要求，修满2分。</w:t>
      </w:r>
    </w:p>
    <w:p w14:paraId="46276DB9">
      <w:pPr>
        <w:pageBreakBefore w:val="0"/>
        <w:kinsoku/>
        <w:wordWrap/>
        <w:overflowPunct/>
        <w:topLinePunct w:val="0"/>
        <w:autoSpaceDE/>
        <w:autoSpaceDN/>
        <w:bidi w:val="0"/>
        <w:snapToGrid/>
        <w:ind w:left="420" w:leftChars="200"/>
        <w:outlineLvl w:val="9"/>
        <w:rPr>
          <w:color w:val="auto"/>
          <w:szCs w:val="21"/>
        </w:rPr>
      </w:pPr>
    </w:p>
    <w:p w14:paraId="71A939C1">
      <w:pPr>
        <w:pageBreakBefore w:val="0"/>
        <w:kinsoku/>
        <w:wordWrap/>
        <w:overflowPunct/>
        <w:topLinePunct w:val="0"/>
        <w:autoSpaceDE/>
        <w:autoSpaceDN/>
        <w:bidi w:val="0"/>
        <w:snapToGrid/>
        <w:outlineLvl w:val="9"/>
        <w:rPr>
          <w:b/>
          <w:bCs/>
          <w:color w:val="auto"/>
          <w:szCs w:val="21"/>
        </w:rPr>
      </w:pPr>
    </w:p>
    <w:p w14:paraId="0419A25E">
      <w:pPr>
        <w:pStyle w:val="20"/>
        <w:pageBreakBefore w:val="0"/>
        <w:widowControl/>
        <w:kinsoku/>
        <w:wordWrap/>
        <w:overflowPunct/>
        <w:topLinePunct w:val="0"/>
        <w:autoSpaceDE/>
        <w:autoSpaceDN/>
        <w:bidi w:val="0"/>
        <w:snapToGrid/>
        <w:ind w:firstLine="0" w:firstLineChars="0"/>
        <w:jc w:val="left"/>
        <w:outlineLvl w:val="9"/>
        <w:rPr>
          <w:rFonts w:ascii="宋体" w:hAnsi="宋体" w:eastAsia="宋体"/>
          <w:b/>
          <w:bCs/>
          <w:color w:val="auto"/>
          <w:szCs w:val="21"/>
        </w:rPr>
      </w:pPr>
      <w:r>
        <w:rPr>
          <w:rFonts w:hint="eastAsia" w:asciiTheme="minorHAnsi" w:hAnsiTheme="minorHAnsi" w:eastAsiaTheme="minorEastAsia" w:cstheme="minorBidi"/>
          <w:b/>
          <w:bCs/>
          <w:color w:val="auto"/>
          <w:szCs w:val="21"/>
        </w:rPr>
        <w:t>II、</w:t>
      </w:r>
      <w:r>
        <w:rPr>
          <w:rFonts w:hint="eastAsia" w:ascii="宋体" w:hAnsi="宋体" w:eastAsia="宋体"/>
          <w:b/>
          <w:bCs/>
          <w:color w:val="auto"/>
          <w:szCs w:val="21"/>
        </w:rPr>
        <w:t>列明培养</w:t>
      </w:r>
      <w:r>
        <w:rPr>
          <w:rFonts w:ascii="宋体" w:hAnsi="宋体" w:eastAsia="宋体"/>
          <w:b/>
          <w:bCs/>
          <w:color w:val="auto"/>
          <w:szCs w:val="21"/>
        </w:rPr>
        <w:t>目标与</w:t>
      </w:r>
      <w:r>
        <w:rPr>
          <w:rFonts w:hint="eastAsia" w:ascii="宋体" w:hAnsi="宋体" w:eastAsia="宋体"/>
          <w:b/>
          <w:bCs/>
          <w:color w:val="auto"/>
          <w:szCs w:val="21"/>
        </w:rPr>
        <w:t>相关课程设置关系</w:t>
      </w:r>
      <w:r>
        <w:rPr>
          <w:rFonts w:ascii="宋体" w:hAnsi="宋体" w:eastAsia="宋体"/>
          <w:b/>
          <w:bCs/>
          <w:color w:val="auto"/>
          <w:szCs w:val="21"/>
        </w:rPr>
        <w:t>，</w:t>
      </w:r>
      <w:r>
        <w:rPr>
          <w:rFonts w:hint="eastAsia" w:ascii="宋体" w:hAnsi="宋体" w:eastAsia="宋体"/>
          <w:b/>
          <w:bCs/>
          <w:color w:val="auto"/>
          <w:szCs w:val="21"/>
        </w:rPr>
        <w:t>以图表或表格</w:t>
      </w:r>
      <w:r>
        <w:rPr>
          <w:rFonts w:ascii="宋体" w:hAnsi="宋体" w:eastAsia="宋体"/>
          <w:b/>
          <w:bCs/>
          <w:color w:val="auto"/>
          <w:szCs w:val="21"/>
        </w:rPr>
        <w:t>形式</w:t>
      </w:r>
      <w:r>
        <w:rPr>
          <w:rFonts w:hint="eastAsia" w:ascii="宋体" w:hAnsi="宋体" w:eastAsia="宋体"/>
          <w:b/>
          <w:bCs/>
          <w:color w:val="auto"/>
          <w:szCs w:val="21"/>
        </w:rPr>
        <w:t>呈现</w:t>
      </w:r>
      <w:r>
        <w:rPr>
          <w:rFonts w:ascii="宋体" w:hAnsi="宋体" w:eastAsia="宋体"/>
          <w:b/>
          <w:bCs/>
          <w:color w:val="auto"/>
          <w:szCs w:val="21"/>
        </w:rPr>
        <w:t>。</w:t>
      </w:r>
    </w:p>
    <w:p w14:paraId="7258ACCF">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 xml:space="preserve"> 培养方案中课程与知识领域对应情况</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575"/>
        <w:gridCol w:w="3011"/>
        <w:gridCol w:w="3218"/>
      </w:tblGrid>
      <w:tr w14:paraId="538E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20" w:type="pct"/>
            <w:vAlign w:val="center"/>
          </w:tcPr>
          <w:p w14:paraId="4EEA76E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序号</w:t>
            </w:r>
          </w:p>
        </w:tc>
        <w:tc>
          <w:tcPr>
            <w:tcW w:w="924" w:type="pct"/>
            <w:vAlign w:val="center"/>
          </w:tcPr>
          <w:p w14:paraId="13E0B04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知识领域</w:t>
            </w:r>
          </w:p>
        </w:tc>
        <w:tc>
          <w:tcPr>
            <w:tcW w:w="1767" w:type="pct"/>
            <w:vAlign w:val="center"/>
          </w:tcPr>
          <w:p w14:paraId="2DD728E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教育部教指委专业标准</w:t>
            </w:r>
          </w:p>
        </w:tc>
        <w:tc>
          <w:tcPr>
            <w:tcW w:w="1888" w:type="pct"/>
            <w:vAlign w:val="center"/>
          </w:tcPr>
          <w:p w14:paraId="3249C81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本专业开设的相关课程</w:t>
            </w:r>
          </w:p>
        </w:tc>
      </w:tr>
      <w:tr w14:paraId="7B4A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420" w:type="pct"/>
            <w:vAlign w:val="center"/>
          </w:tcPr>
          <w:p w14:paraId="2D33A5D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1</w:t>
            </w:r>
          </w:p>
        </w:tc>
        <w:tc>
          <w:tcPr>
            <w:tcW w:w="924" w:type="pct"/>
            <w:vAlign w:val="center"/>
          </w:tcPr>
          <w:p w14:paraId="316D889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基础性知识</w:t>
            </w:r>
          </w:p>
        </w:tc>
        <w:tc>
          <w:tcPr>
            <w:tcW w:w="1767" w:type="pct"/>
            <w:vAlign w:val="center"/>
          </w:tcPr>
          <w:p w14:paraId="521DC2C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包括经济学、管理学、政治学、社会学和法学等社会科学知识，以及有利于促进学生全面发展的人文、艺术和自然科学知识。</w:t>
            </w:r>
          </w:p>
        </w:tc>
        <w:tc>
          <w:tcPr>
            <w:tcW w:w="1888" w:type="pct"/>
            <w:vAlign w:val="center"/>
          </w:tcPr>
          <w:p w14:paraId="5AC60F6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通识教育课程体系中的思想政治理论课程模块</w:t>
            </w:r>
            <w:r>
              <w:rPr>
                <w:rFonts w:hint="eastAsia" w:ascii="华文中宋" w:hAnsi="华文中宋" w:eastAsia="华文中宋" w:cs="华文中宋"/>
                <w:color w:val="auto"/>
                <w:kern w:val="0"/>
                <w:szCs w:val="21"/>
                <w:lang w:val="en-US" w:eastAsia="zh-CN"/>
              </w:rPr>
              <w:t>、通识限选课程、</w:t>
            </w:r>
            <w:r>
              <w:rPr>
                <w:rFonts w:hint="eastAsia" w:ascii="华文中宋" w:hAnsi="华文中宋" w:eastAsia="华文中宋" w:cs="华文中宋"/>
                <w:color w:val="auto"/>
                <w:kern w:val="0"/>
                <w:szCs w:val="21"/>
              </w:rPr>
              <w:t>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个性化培养课程体系以及第二课堂。</w:t>
            </w:r>
          </w:p>
        </w:tc>
      </w:tr>
      <w:tr w14:paraId="3089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0" w:type="pct"/>
            <w:vAlign w:val="center"/>
          </w:tcPr>
          <w:p w14:paraId="7D9642B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2</w:t>
            </w:r>
          </w:p>
        </w:tc>
        <w:tc>
          <w:tcPr>
            <w:tcW w:w="924" w:type="pct"/>
            <w:vAlign w:val="center"/>
          </w:tcPr>
          <w:p w14:paraId="08899CD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专业性知识</w:t>
            </w:r>
          </w:p>
        </w:tc>
        <w:tc>
          <w:tcPr>
            <w:tcW w:w="1767" w:type="pct"/>
            <w:vAlign w:val="center"/>
          </w:tcPr>
          <w:p w14:paraId="225235BA">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包括统计学专业的基本知识、基本理论和基本技能。</w:t>
            </w:r>
          </w:p>
        </w:tc>
        <w:tc>
          <w:tcPr>
            <w:tcW w:w="1888" w:type="pct"/>
            <w:vAlign w:val="center"/>
          </w:tcPr>
          <w:p w14:paraId="46E3E9B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学科共同课、专业</w:t>
            </w:r>
            <w:r>
              <w:rPr>
                <w:rFonts w:hint="eastAsia" w:ascii="华文中宋" w:hAnsi="华文中宋" w:eastAsia="华文中宋" w:cs="华文中宋"/>
                <w:color w:val="auto"/>
                <w:kern w:val="0"/>
                <w:szCs w:val="21"/>
                <w:lang w:val="en-US" w:eastAsia="zh-CN"/>
              </w:rPr>
              <w:t>基础</w:t>
            </w:r>
            <w:r>
              <w:rPr>
                <w:rFonts w:hint="eastAsia" w:ascii="华文中宋" w:hAnsi="华文中宋" w:eastAsia="华文中宋" w:cs="华文中宋"/>
                <w:color w:val="auto"/>
                <w:kern w:val="0"/>
                <w:szCs w:val="21"/>
              </w:rPr>
              <w:t>课以及个性化培养课程中的部分课程。</w:t>
            </w:r>
          </w:p>
        </w:tc>
      </w:tr>
      <w:tr w14:paraId="6105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420" w:type="pct"/>
            <w:vAlign w:val="center"/>
          </w:tcPr>
          <w:p w14:paraId="20B470B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3</w:t>
            </w:r>
          </w:p>
        </w:tc>
        <w:tc>
          <w:tcPr>
            <w:tcW w:w="924" w:type="pct"/>
            <w:vAlign w:val="center"/>
          </w:tcPr>
          <w:p w14:paraId="45544A6F">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工具性知识</w:t>
            </w:r>
          </w:p>
        </w:tc>
        <w:tc>
          <w:tcPr>
            <w:tcW w:w="1767" w:type="pct"/>
            <w:vAlign w:val="center"/>
          </w:tcPr>
          <w:p w14:paraId="4DB8622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包括数学、外语、计算机及信息技术应用、文献检索、社会调查与研究方法、论文写作。</w:t>
            </w:r>
          </w:p>
        </w:tc>
        <w:tc>
          <w:tcPr>
            <w:tcW w:w="1888" w:type="pct"/>
            <w:vAlign w:val="center"/>
          </w:tcPr>
          <w:p w14:paraId="35999C1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通识教育模块中的人工智能课程模块、外语课程模块</w:t>
            </w:r>
            <w:r>
              <w:rPr>
                <w:rFonts w:hint="eastAsia" w:ascii="华文中宋" w:hAnsi="华文中宋" w:eastAsia="华文中宋" w:cs="华文中宋"/>
                <w:color w:val="auto"/>
                <w:kern w:val="0"/>
                <w:szCs w:val="21"/>
                <w:lang w:val="en-US" w:eastAsia="zh-CN"/>
              </w:rPr>
              <w:t>两</w:t>
            </w:r>
            <w:r>
              <w:rPr>
                <w:rFonts w:hint="eastAsia" w:ascii="华文中宋" w:hAnsi="华文中宋" w:eastAsia="华文中宋" w:cs="华文中宋"/>
                <w:color w:val="auto"/>
                <w:kern w:val="0"/>
                <w:szCs w:val="21"/>
              </w:rPr>
              <w:t>个模块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lang w:val="en-US" w:eastAsia="zh-CN"/>
              </w:rPr>
              <w:t>专业培养模块的数理基础课；</w:t>
            </w:r>
            <w:r>
              <w:rPr>
                <w:rFonts w:hint="eastAsia" w:ascii="华文中宋" w:hAnsi="华文中宋" w:eastAsia="华文中宋" w:cs="华文中宋"/>
                <w:color w:val="auto"/>
                <w:kern w:val="0"/>
                <w:szCs w:val="21"/>
              </w:rPr>
              <w:t>以及个性化培养课程中的部分课程。</w:t>
            </w:r>
          </w:p>
        </w:tc>
      </w:tr>
      <w:tr w14:paraId="7860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20" w:type="pct"/>
            <w:vAlign w:val="center"/>
          </w:tcPr>
          <w:p w14:paraId="27C27D2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4</w:t>
            </w:r>
          </w:p>
        </w:tc>
        <w:tc>
          <w:tcPr>
            <w:tcW w:w="924" w:type="pct"/>
            <w:vAlign w:val="center"/>
          </w:tcPr>
          <w:p w14:paraId="6B48AB8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w:t>
            </w:r>
          </w:p>
        </w:tc>
        <w:tc>
          <w:tcPr>
            <w:tcW w:w="1767" w:type="pct"/>
            <w:vAlign w:val="center"/>
          </w:tcPr>
          <w:p w14:paraId="5DE9D3E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和通识课程学分应占总学分的40%左右。思想政治理论课程至少开设以下课程：马克思主义基本原理、毛泽东思想和中国特色社会主义理论体系概论、形式与政策、思想道德修养与法律基础、中国近现代史纲要。</w:t>
            </w:r>
          </w:p>
        </w:tc>
        <w:tc>
          <w:tcPr>
            <w:tcW w:w="1888" w:type="pct"/>
            <w:vAlign w:val="center"/>
          </w:tcPr>
          <w:p w14:paraId="6E74229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思想政治理论课程和通识课程的学分设置符合</w:t>
            </w:r>
            <w:r>
              <w:rPr>
                <w:rFonts w:hint="eastAsia" w:ascii="华文中宋" w:hAnsi="华文中宋" w:eastAsia="华文中宋" w:cs="华文中宋"/>
                <w:color w:val="auto"/>
                <w:kern w:val="0"/>
                <w:szCs w:val="21"/>
                <w:lang w:val="en-US" w:eastAsia="zh-CN"/>
              </w:rPr>
              <w:t>统计学</w:t>
            </w:r>
            <w:r>
              <w:rPr>
                <w:rFonts w:hint="eastAsia" w:ascii="华文中宋" w:hAnsi="华文中宋" w:eastAsia="华文中宋" w:cs="华文中宋"/>
                <w:color w:val="auto"/>
                <w:kern w:val="0"/>
                <w:szCs w:val="21"/>
              </w:rPr>
              <w:t>专业教育国家质量标准的要求。开设的思想政治课程包括：中国近现代史纲要、马克思主义基本原理、毛泽东思想和中国特色社会主义理论体系概论、习近平新时代中国特色社会主义思想概论、中国近现代史纲要、思想道德与法治及形势与政策</w:t>
            </w:r>
            <w:r>
              <w:rPr>
                <w:rFonts w:hint="eastAsia" w:ascii="华文中宋" w:hAnsi="华文中宋" w:eastAsia="华文中宋" w:cs="华文中宋"/>
                <w:color w:val="auto"/>
                <w:kern w:val="0"/>
                <w:szCs w:val="21"/>
                <w:lang w:eastAsia="zh-CN"/>
              </w:rPr>
              <w:t>、国家安全教育</w:t>
            </w:r>
            <w:r>
              <w:rPr>
                <w:rFonts w:hint="eastAsia" w:ascii="华文中宋" w:hAnsi="华文中宋" w:eastAsia="华文中宋" w:cs="华文中宋"/>
                <w:color w:val="auto"/>
                <w:kern w:val="0"/>
                <w:szCs w:val="21"/>
              </w:rPr>
              <w:t>等。</w:t>
            </w:r>
          </w:p>
        </w:tc>
      </w:tr>
      <w:tr w14:paraId="7140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jc w:val="center"/>
        </w:trPr>
        <w:tc>
          <w:tcPr>
            <w:tcW w:w="420" w:type="pct"/>
            <w:vAlign w:val="center"/>
          </w:tcPr>
          <w:p w14:paraId="2A8D6A0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5</w:t>
            </w:r>
          </w:p>
        </w:tc>
        <w:tc>
          <w:tcPr>
            <w:tcW w:w="924" w:type="pct"/>
            <w:vAlign w:val="center"/>
          </w:tcPr>
          <w:p w14:paraId="0E28E4A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w:t>
            </w:r>
          </w:p>
        </w:tc>
        <w:tc>
          <w:tcPr>
            <w:tcW w:w="1767" w:type="pct"/>
            <w:vAlign w:val="center"/>
          </w:tcPr>
          <w:p w14:paraId="51D8ECA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通识课程包括数学、外语、计算机及信息技术应用、体育等必修课程，以及根据学校特色和条件设置的人文艺术、社会科学和自然科学类选修课程。社会科学类选修课程应包括政治学、社会学、法学相关课程。</w:t>
            </w:r>
          </w:p>
        </w:tc>
        <w:tc>
          <w:tcPr>
            <w:tcW w:w="1888" w:type="pct"/>
            <w:vAlign w:val="center"/>
          </w:tcPr>
          <w:p w14:paraId="09FAB00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本专业开设了通识教育核心课程、专项教育课程</w:t>
            </w:r>
            <w:r>
              <w:rPr>
                <w:rFonts w:hint="eastAsia" w:ascii="华文中宋" w:hAnsi="华文中宋" w:eastAsia="华文中宋" w:cs="华文中宋"/>
                <w:color w:val="auto"/>
                <w:kern w:val="0"/>
                <w:szCs w:val="21"/>
                <w:lang w:val="en-US" w:eastAsia="zh-CN"/>
              </w:rPr>
              <w:t>两大模块课程。</w:t>
            </w:r>
            <w:r>
              <w:rPr>
                <w:rFonts w:hint="eastAsia" w:ascii="华文中宋" w:hAnsi="华文中宋" w:eastAsia="华文中宋" w:cs="华文中宋"/>
                <w:color w:val="auto"/>
                <w:kern w:val="0"/>
                <w:szCs w:val="21"/>
              </w:rPr>
              <w:t>其中，通识教育核心课程包括思想政治理论课程模块</w:t>
            </w:r>
            <w:r>
              <w:rPr>
                <w:rFonts w:hint="eastAsia" w:ascii="华文中宋" w:hAnsi="华文中宋" w:eastAsia="华文中宋" w:cs="华文中宋"/>
                <w:color w:val="auto"/>
                <w:kern w:val="0"/>
                <w:szCs w:val="21"/>
                <w:lang w:val="en-US" w:eastAsia="zh-CN"/>
              </w:rPr>
              <w:t>和通识限选课程两个</w:t>
            </w:r>
            <w:r>
              <w:rPr>
                <w:rFonts w:hint="eastAsia" w:ascii="华文中宋" w:hAnsi="华文中宋" w:eastAsia="华文中宋" w:cs="华文中宋"/>
                <w:color w:val="auto"/>
                <w:kern w:val="0"/>
                <w:szCs w:val="21"/>
              </w:rPr>
              <w:t>部分；专项教育课程包括外语课程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七个部分。</w:t>
            </w:r>
          </w:p>
        </w:tc>
      </w:tr>
      <w:tr w14:paraId="2394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420" w:type="pct"/>
            <w:vAlign w:val="center"/>
          </w:tcPr>
          <w:p w14:paraId="41DAFA0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highlight w:val="yellow"/>
              </w:rPr>
            </w:pPr>
            <w:r>
              <w:rPr>
                <w:rFonts w:hint="eastAsia" w:ascii="华文中宋" w:hAnsi="华文中宋" w:eastAsia="华文中宋" w:cs="华文中宋"/>
                <w:color w:val="auto"/>
                <w:kern w:val="0"/>
                <w:szCs w:val="21"/>
              </w:rPr>
              <w:t>6</w:t>
            </w:r>
          </w:p>
        </w:tc>
        <w:tc>
          <w:tcPr>
            <w:tcW w:w="924" w:type="pct"/>
            <w:vAlign w:val="center"/>
          </w:tcPr>
          <w:p w14:paraId="08B61A4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学科基础</w:t>
            </w:r>
          </w:p>
        </w:tc>
        <w:tc>
          <w:tcPr>
            <w:tcW w:w="1767" w:type="pct"/>
            <w:vAlign w:val="center"/>
          </w:tcPr>
          <w:p w14:paraId="4D1B2A2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学科基础课程应包括数学分析、高等代数、实变函数、数学模型、概率论等相关课程。各高校可在此基础上根据实际情况安排1-2门其他课程。</w:t>
            </w:r>
          </w:p>
        </w:tc>
        <w:tc>
          <w:tcPr>
            <w:tcW w:w="1888" w:type="pct"/>
            <w:vAlign w:val="center"/>
          </w:tcPr>
          <w:p w14:paraId="262CE68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数学分析、高等代数、复变函数、实变函数、泛函分析、概率论、数据结构、贝叶斯决策、属性数据分析等。</w:t>
            </w:r>
          </w:p>
        </w:tc>
      </w:tr>
      <w:tr w14:paraId="3EEB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420" w:type="pct"/>
            <w:vAlign w:val="center"/>
          </w:tcPr>
          <w:p w14:paraId="0D41282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highlight w:val="yellow"/>
              </w:rPr>
            </w:pPr>
            <w:r>
              <w:rPr>
                <w:rFonts w:hint="eastAsia" w:ascii="华文中宋" w:hAnsi="华文中宋" w:eastAsia="华文中宋" w:cs="华文中宋"/>
                <w:color w:val="auto"/>
                <w:kern w:val="0"/>
                <w:szCs w:val="21"/>
              </w:rPr>
              <w:t>7</w:t>
            </w:r>
          </w:p>
        </w:tc>
        <w:tc>
          <w:tcPr>
            <w:tcW w:w="924" w:type="pct"/>
            <w:vAlign w:val="center"/>
          </w:tcPr>
          <w:p w14:paraId="17AD2B2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专业必修</w:t>
            </w:r>
          </w:p>
        </w:tc>
        <w:tc>
          <w:tcPr>
            <w:tcW w:w="1767" w:type="pct"/>
            <w:vAlign w:val="center"/>
          </w:tcPr>
          <w:p w14:paraId="695CE3E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统计学专业必修课程有数理统计、回归分析、多元统计分析、时间序列分析、随机过程、计算统计与统计软件等。</w:t>
            </w:r>
          </w:p>
        </w:tc>
        <w:tc>
          <w:tcPr>
            <w:tcW w:w="1888" w:type="pct"/>
            <w:vAlign w:val="center"/>
          </w:tcPr>
          <w:p w14:paraId="2BA047B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机器学习</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深度学习</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时间序列分析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非参数统计</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多元统计分析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泛函分析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优化理论与方法</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回归分析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数据结构</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随机过程等。</w:t>
            </w:r>
          </w:p>
        </w:tc>
      </w:tr>
      <w:tr w14:paraId="346F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jc w:val="center"/>
        </w:trPr>
        <w:tc>
          <w:tcPr>
            <w:tcW w:w="420" w:type="pct"/>
            <w:vAlign w:val="center"/>
          </w:tcPr>
          <w:p w14:paraId="66E7396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8</w:t>
            </w:r>
          </w:p>
        </w:tc>
        <w:tc>
          <w:tcPr>
            <w:tcW w:w="924" w:type="pct"/>
            <w:vAlign w:val="center"/>
          </w:tcPr>
          <w:p w14:paraId="4F92561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w:t>
            </w:r>
          </w:p>
        </w:tc>
        <w:tc>
          <w:tcPr>
            <w:tcW w:w="1767" w:type="pct"/>
            <w:vAlign w:val="center"/>
          </w:tcPr>
          <w:p w14:paraId="3BFCE41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课应当与专业必修课形成逻辑上的拓展与延续关系，并形成课程模块（课程组）供学生选择性修读。各专业可以自主设置专业选修课程体系。鼓励有条件的高校开设双语或全英文专业课程、文献选读、模型建立类课程。</w:t>
            </w:r>
          </w:p>
        </w:tc>
        <w:tc>
          <w:tcPr>
            <w:tcW w:w="1888" w:type="pct"/>
            <w:vAlign w:val="center"/>
          </w:tcPr>
          <w:p w14:paraId="69DB7678">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outlineLvl w:val="9"/>
              <w:rPr>
                <w:rFonts w:hint="eastAsia" w:ascii="华文中宋" w:hAnsi="华文中宋" w:eastAsia="华文中宋" w:cs="华文中宋"/>
                <w:color w:val="auto"/>
                <w:kern w:val="0"/>
                <w:szCs w:val="21"/>
                <w:lang w:val="en-US" w:eastAsia="zh-CN"/>
              </w:rPr>
            </w:pPr>
            <w:r>
              <w:rPr>
                <w:rFonts w:hint="eastAsia" w:ascii="华文中宋" w:hAnsi="华文中宋" w:eastAsia="华文中宋" w:cs="华文中宋"/>
                <w:color w:val="auto"/>
                <w:kern w:val="0"/>
                <w:szCs w:val="21"/>
              </w:rPr>
              <w:t>数据科学导论</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国民经济核算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商务统计建模与决策</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分布式计算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计量经济学</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金融风险管理</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金融建模</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函数型数据分析方法、理论及其应用</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因果推断</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高维数据统计推断</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统计思想</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抽样技术</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数量金融</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数据分析与可视化</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生存分析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金融优化</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试验设计与观察性研究</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统计写作</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复变函数</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统计文献选读</w:t>
            </w:r>
            <w:r>
              <w:rPr>
                <w:rFonts w:hint="eastAsia" w:ascii="华文中宋" w:hAnsi="华文中宋" w:eastAsia="华文中宋" w:cs="华文中宋"/>
                <w:color w:val="auto"/>
                <w:kern w:val="0"/>
                <w:szCs w:val="21"/>
                <w:lang w:val="en-US" w:eastAsia="zh-CN"/>
              </w:rPr>
              <w:t>等</w:t>
            </w:r>
          </w:p>
        </w:tc>
      </w:tr>
    </w:tbl>
    <w:p w14:paraId="45431E74">
      <w:pPr>
        <w:pageBreakBefore w:val="0"/>
        <w:widowControl/>
        <w:kinsoku/>
        <w:wordWrap/>
        <w:overflowPunct/>
        <w:topLinePunct w:val="0"/>
        <w:autoSpaceDE/>
        <w:autoSpaceDN/>
        <w:bidi w:val="0"/>
        <w:snapToGrid/>
        <w:jc w:val="left"/>
        <w:outlineLvl w:val="9"/>
        <w:rPr>
          <w:rFonts w:ascii="宋体" w:hAnsi="宋体" w:eastAsia="宋体"/>
          <w:color w:val="auto"/>
          <w:szCs w:val="21"/>
        </w:rPr>
      </w:pPr>
    </w:p>
    <w:p w14:paraId="3AF431B7">
      <w:pPr>
        <w:pStyle w:val="20"/>
        <w:pageBreakBefore w:val="0"/>
        <w:widowControl/>
        <w:kinsoku/>
        <w:wordWrap/>
        <w:overflowPunct/>
        <w:topLinePunct w:val="0"/>
        <w:autoSpaceDE/>
        <w:autoSpaceDN/>
        <w:bidi w:val="0"/>
        <w:snapToGrid/>
        <w:ind w:left="360" w:hanging="360" w:firstLineChars="0"/>
        <w:jc w:val="left"/>
        <w:outlineLvl w:val="9"/>
        <w:rPr>
          <w:rFonts w:asciiTheme="minorHAnsi" w:hAnsiTheme="minorHAnsi" w:eastAsiaTheme="minorEastAsia" w:cstheme="minorBidi"/>
          <w:b/>
          <w:bCs/>
          <w:color w:val="auto"/>
          <w:szCs w:val="21"/>
        </w:rPr>
      </w:pPr>
      <w:r>
        <w:rPr>
          <w:rFonts w:hint="eastAsia" w:asciiTheme="minorHAnsi" w:hAnsiTheme="minorHAnsi" w:eastAsiaTheme="minorEastAsia" w:cstheme="minorBidi"/>
          <w:b/>
          <w:bCs/>
          <w:color w:val="auto"/>
          <w:szCs w:val="21"/>
        </w:rPr>
        <w:t>III</w:t>
      </w:r>
      <w:r>
        <w:rPr>
          <w:rFonts w:asciiTheme="minorHAnsi" w:hAnsiTheme="minorHAnsi" w:eastAsiaTheme="minorEastAsia" w:cstheme="minorBidi"/>
          <w:b/>
          <w:bCs/>
          <w:color w:val="auto"/>
          <w:szCs w:val="21"/>
        </w:rPr>
        <w:t>、</w:t>
      </w:r>
      <w:r>
        <w:rPr>
          <w:rFonts w:hint="eastAsia" w:asciiTheme="minorHAnsi" w:hAnsiTheme="minorHAnsi" w:eastAsiaTheme="minorEastAsia" w:cstheme="minorBidi"/>
          <w:b/>
          <w:bCs/>
          <w:color w:val="auto"/>
          <w:szCs w:val="21"/>
        </w:rPr>
        <w:t>课程关系图或课程先修关系表。</w:t>
      </w:r>
    </w:p>
    <w:p w14:paraId="13A166FE">
      <w:pPr>
        <w:pStyle w:val="20"/>
        <w:pageBreakBefore w:val="0"/>
        <w:widowControl/>
        <w:kinsoku/>
        <w:wordWrap/>
        <w:overflowPunct/>
        <w:topLinePunct w:val="0"/>
        <w:autoSpaceDE/>
        <w:autoSpaceDN/>
        <w:bidi w:val="0"/>
        <w:snapToGrid/>
        <w:ind w:left="360" w:firstLine="0" w:firstLineChars="0"/>
        <w:jc w:val="left"/>
        <w:outlineLvl w:val="9"/>
        <w:rPr>
          <w:rFonts w:ascii="宋体" w:hAnsi="宋体" w:eastAsia="宋体"/>
          <w:b/>
          <w:bCs/>
          <w:i/>
          <w:color w:val="auto"/>
          <w:szCs w:val="21"/>
        </w:rPr>
      </w:pPr>
    </w:p>
    <w:p w14:paraId="31F8C816">
      <w:pPr>
        <w:pStyle w:val="20"/>
        <w:pageBreakBefore w:val="0"/>
        <w:widowControl/>
        <w:kinsoku/>
        <w:wordWrap/>
        <w:overflowPunct/>
        <w:topLinePunct w:val="0"/>
        <w:autoSpaceDE/>
        <w:autoSpaceDN/>
        <w:bidi w:val="0"/>
        <w:snapToGrid/>
        <w:ind w:left="0" w:leftChars="0" w:firstLine="0" w:firstLineChars="0"/>
        <w:jc w:val="left"/>
        <w:outlineLvl w:val="9"/>
        <w:rPr>
          <w:rFonts w:hint="eastAsia" w:ascii="宋体" w:hAnsi="宋体" w:eastAsia="宋体"/>
          <w:b/>
          <w:bCs/>
          <w:i/>
          <w:color w:val="auto"/>
          <w:szCs w:val="21"/>
          <w:lang w:eastAsia="zh-CN"/>
        </w:rPr>
      </w:pPr>
      <w:r>
        <w:rPr>
          <w:rFonts w:ascii="宋体" w:hAnsi="宋体" w:eastAsia="宋体" w:cs="宋体"/>
          <w:sz w:val="24"/>
          <w:szCs w:val="24"/>
        </w:rPr>
        <w:drawing>
          <wp:inline distT="0" distB="0" distL="114300" distR="114300">
            <wp:extent cx="4557395" cy="3435985"/>
            <wp:effectExtent l="0" t="0" r="14605" b="825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4557395" cy="3435985"/>
                    </a:xfrm>
                    <a:prstGeom prst="rect">
                      <a:avLst/>
                    </a:prstGeom>
                    <a:noFill/>
                    <a:ln w="9525">
                      <a:noFill/>
                    </a:ln>
                  </pic:spPr>
                </pic:pic>
              </a:graphicData>
            </a:graphic>
          </wp:inline>
        </w:drawing>
      </w:r>
    </w:p>
    <w:p w14:paraId="0C34E39A">
      <w:pPr>
        <w:pStyle w:val="20"/>
        <w:pageBreakBefore w:val="0"/>
        <w:widowControl/>
        <w:kinsoku/>
        <w:wordWrap/>
        <w:overflowPunct/>
        <w:topLinePunct w:val="0"/>
        <w:autoSpaceDE/>
        <w:autoSpaceDN/>
        <w:bidi w:val="0"/>
        <w:snapToGrid/>
        <w:ind w:left="360" w:firstLine="0" w:firstLineChars="0"/>
        <w:jc w:val="left"/>
        <w:outlineLvl w:val="9"/>
        <w:rPr>
          <w:rFonts w:hint="eastAsia" w:ascii="宋体" w:hAnsi="宋体" w:eastAsia="宋体"/>
          <w:b/>
          <w:bCs/>
          <w:i/>
          <w:color w:val="auto"/>
          <w:szCs w:val="21"/>
          <w:lang w:eastAsia="zh-CN"/>
        </w:rPr>
      </w:pPr>
    </w:p>
    <w:p w14:paraId="6BB2EA31">
      <w:pPr>
        <w:pStyle w:val="20"/>
        <w:pageBreakBefore w:val="0"/>
        <w:widowControl/>
        <w:kinsoku/>
        <w:wordWrap/>
        <w:overflowPunct/>
        <w:topLinePunct w:val="0"/>
        <w:autoSpaceDE/>
        <w:autoSpaceDN/>
        <w:bidi w:val="0"/>
        <w:snapToGrid/>
        <w:ind w:firstLine="0" w:firstLineChars="0"/>
        <w:jc w:val="left"/>
        <w:outlineLvl w:val="9"/>
        <w:rPr>
          <w:rFonts w:ascii="宋体" w:hAnsi="宋体" w:eastAsia="宋体" w:cs="宋体"/>
          <w:color w:val="auto"/>
          <w:sz w:val="24"/>
        </w:rPr>
      </w:pPr>
      <w:r>
        <w:rPr>
          <w:rFonts w:hint="eastAsia" w:ascii="宋体" w:hAnsi="宋体" w:eastAsia="宋体" w:cs="宋体"/>
          <w:color w:val="auto"/>
          <w:sz w:val="24"/>
          <w:lang w:eastAsia="zh-CN"/>
        </w:rPr>
        <w:drawing>
          <wp:inline distT="0" distB="0" distL="114300" distR="114300">
            <wp:extent cx="4565650" cy="4742815"/>
            <wp:effectExtent l="0" t="0" r="6350" b="12065"/>
            <wp:docPr id="23" name="图片 23" descr="企业微信截图_17497843799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企业微信截图_17497843799841"/>
                    <pic:cNvPicPr>
                      <a:picLocks noChangeAspect="1"/>
                    </pic:cNvPicPr>
                  </pic:nvPicPr>
                  <pic:blipFill>
                    <a:blip r:embed="rId7"/>
                    <a:stretch>
                      <a:fillRect/>
                    </a:stretch>
                  </pic:blipFill>
                  <pic:spPr>
                    <a:xfrm>
                      <a:off x="0" y="0"/>
                      <a:ext cx="4565650" cy="4742815"/>
                    </a:xfrm>
                    <a:prstGeom prst="rect">
                      <a:avLst/>
                    </a:prstGeom>
                  </pic:spPr>
                </pic:pic>
              </a:graphicData>
            </a:graphic>
          </wp:inline>
        </w:drawing>
      </w:r>
    </w:p>
    <w:p w14:paraId="7ACD8B8D">
      <w:pPr>
        <w:pageBreakBefore w:val="0"/>
        <w:numPr>
          <w:ilvl w:val="0"/>
          <w:numId w:val="0"/>
        </w:numPr>
        <w:kinsoku/>
        <w:wordWrap/>
        <w:overflowPunct/>
        <w:topLinePunct w:val="0"/>
        <w:autoSpaceDE/>
        <w:autoSpaceDN/>
        <w:bidi w:val="0"/>
        <w:snapToGrid/>
        <w:spacing w:before="0" w:after="0"/>
        <w:ind w:leftChars="0"/>
        <w:jc w:val="left"/>
        <w:outlineLvl w:val="9"/>
        <w:rPr>
          <w:rFonts w:hint="eastAsia" w:ascii="宋体" w:hAnsi="宋体" w:eastAsia="宋体"/>
          <w:color w:val="auto"/>
          <w:sz w:val="21"/>
          <w:szCs w:val="21"/>
        </w:rPr>
      </w:pPr>
    </w:p>
    <w:p w14:paraId="64BAE004">
      <w:pPr>
        <w:pageBreakBefore w:val="0"/>
        <w:numPr>
          <w:ilvl w:val="0"/>
          <w:numId w:val="1"/>
        </w:numPr>
        <w:kinsoku/>
        <w:wordWrap/>
        <w:overflowPunct/>
        <w:topLinePunct w:val="0"/>
        <w:autoSpaceDE/>
        <w:autoSpaceDN/>
        <w:bidi w:val="0"/>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选拔、考核和退出</w:t>
      </w:r>
    </w:p>
    <w:p w14:paraId="6CEAE95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本项目实行严格的选拔和科学的考核与退出机制。</w:t>
      </w:r>
    </w:p>
    <w:p w14:paraId="65AEB7B9">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zh-CN"/>
        </w:rPr>
        <w:t>（一）选拔</w:t>
      </w:r>
      <w:r>
        <w:rPr>
          <w:rFonts w:hint="eastAsia" w:ascii="华文中宋" w:hAnsi="华文中宋" w:eastAsia="华文中宋" w:cs="华文中宋"/>
          <w:color w:val="auto"/>
          <w:kern w:val="0"/>
          <w:szCs w:val="21"/>
          <w:highlight w:val="none"/>
        </w:rPr>
        <w:t>和考核</w:t>
      </w:r>
    </w:p>
    <w:p w14:paraId="1B6CC59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1. 选拔规模：每年招生人数原则上为</w:t>
      </w:r>
      <w:r>
        <w:rPr>
          <w:rFonts w:hint="eastAsia" w:ascii="华文中宋" w:hAnsi="华文中宋" w:eastAsia="华文中宋" w:cs="华文中宋"/>
          <w:color w:val="auto"/>
          <w:kern w:val="0"/>
          <w:szCs w:val="21"/>
          <w:highlight w:val="none"/>
          <w:lang w:val="en-US" w:eastAsia="zh-CN"/>
        </w:rPr>
        <w:t>30</w:t>
      </w:r>
      <w:r>
        <w:rPr>
          <w:rFonts w:hint="eastAsia" w:ascii="华文中宋" w:hAnsi="华文中宋" w:eastAsia="华文中宋" w:cs="华文中宋"/>
          <w:color w:val="auto"/>
          <w:kern w:val="0"/>
          <w:szCs w:val="21"/>
          <w:highlight w:val="none"/>
          <w:lang w:val="zh-CN"/>
        </w:rPr>
        <w:t>人。</w:t>
      </w:r>
    </w:p>
    <w:p w14:paraId="28D7332E">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2. 选拔时间与对象：学院9月初进行</w:t>
      </w:r>
      <w:r>
        <w:rPr>
          <w:rFonts w:hint="eastAsia" w:ascii="华文中宋" w:hAnsi="华文中宋" w:eastAsia="华文中宋" w:cs="华文中宋"/>
          <w:color w:val="auto"/>
          <w:kern w:val="0"/>
          <w:szCs w:val="21"/>
          <w:highlight w:val="none"/>
          <w:lang w:val="en-US" w:eastAsia="zh-CN"/>
        </w:rPr>
        <w:t>全校</w:t>
      </w:r>
      <w:r>
        <w:rPr>
          <w:rFonts w:hint="eastAsia" w:ascii="华文中宋" w:hAnsi="华文中宋" w:eastAsia="华文中宋" w:cs="华文中宋"/>
          <w:color w:val="auto"/>
          <w:kern w:val="0"/>
          <w:szCs w:val="21"/>
          <w:highlight w:val="none"/>
          <w:lang w:val="zh-CN"/>
        </w:rPr>
        <w:t>新生选拔，具体信息请关注学院网站通知。</w:t>
      </w:r>
    </w:p>
    <w:p w14:paraId="670B0214">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3. 选拔要求：有志于从事统计学科学研究，并有攻读博士学位意向的优秀本科生。</w:t>
      </w:r>
    </w:p>
    <w:p w14:paraId="6E80750C">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 xml:space="preserve">4. </w:t>
      </w:r>
      <w:r>
        <w:rPr>
          <w:rFonts w:hint="eastAsia" w:ascii="华文中宋" w:hAnsi="华文中宋" w:eastAsia="华文中宋" w:cs="华文中宋"/>
          <w:color w:val="auto"/>
          <w:kern w:val="0"/>
          <w:szCs w:val="21"/>
          <w:highlight w:val="none"/>
        </w:rPr>
        <w:t>考核</w:t>
      </w:r>
      <w:r>
        <w:rPr>
          <w:rFonts w:hint="eastAsia" w:ascii="华文中宋" w:hAnsi="华文中宋" w:eastAsia="华文中宋" w:cs="华文中宋"/>
          <w:color w:val="auto"/>
          <w:kern w:val="0"/>
          <w:szCs w:val="21"/>
          <w:highlight w:val="none"/>
          <w:lang w:val="zh-CN"/>
        </w:rPr>
        <w:t>方式：自愿报名后，对符合条件的学生进行笔试和面试。</w:t>
      </w:r>
    </w:p>
    <w:p w14:paraId="3246E0B5">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lang w:val="zh-CN"/>
        </w:rPr>
      </w:pPr>
      <w:r>
        <w:rPr>
          <w:rFonts w:hint="eastAsia" w:ascii="华文中宋" w:hAnsi="华文中宋" w:eastAsia="华文中宋" w:cs="华文中宋"/>
          <w:color w:val="auto"/>
          <w:kern w:val="0"/>
          <w:szCs w:val="21"/>
          <w:highlight w:val="none"/>
          <w:lang w:val="zh-CN"/>
        </w:rPr>
        <w:t xml:space="preserve"> (</w:t>
      </w:r>
      <w:r>
        <w:rPr>
          <w:rFonts w:hint="eastAsia" w:ascii="华文中宋" w:hAnsi="华文中宋" w:eastAsia="华文中宋" w:cs="华文中宋"/>
          <w:color w:val="auto"/>
          <w:kern w:val="0"/>
          <w:szCs w:val="21"/>
          <w:highlight w:val="none"/>
        </w:rPr>
        <w:t>二</w:t>
      </w:r>
      <w:r>
        <w:rPr>
          <w:rFonts w:hint="eastAsia" w:ascii="华文中宋" w:hAnsi="华文中宋" w:eastAsia="华文中宋" w:cs="华文中宋"/>
          <w:color w:val="auto"/>
          <w:kern w:val="0"/>
          <w:szCs w:val="21"/>
          <w:highlight w:val="none"/>
          <w:lang w:val="zh-CN"/>
        </w:rPr>
        <w:t>) 退出</w:t>
      </w:r>
    </w:p>
    <w:p w14:paraId="13B6678E">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rPr>
        <w:t>规定如下：</w:t>
      </w:r>
    </w:p>
    <w:p w14:paraId="69D9B59D">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en-US" w:eastAsia="zh-CN"/>
        </w:rPr>
        <w:t>1</w:t>
      </w:r>
      <w:r>
        <w:rPr>
          <w:rFonts w:hint="eastAsia" w:ascii="华文中宋" w:hAnsi="华文中宋" w:eastAsia="华文中宋" w:cs="华文中宋"/>
          <w:color w:val="auto"/>
          <w:kern w:val="0"/>
          <w:szCs w:val="21"/>
          <w:highlight w:val="none"/>
        </w:rPr>
        <w:t>. 每学期末，班级排名最后5%的学生将退出，转至本院其他专业。</w:t>
      </w:r>
    </w:p>
    <w:p w14:paraId="2D8170FF">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en-US" w:eastAsia="zh-CN"/>
        </w:rPr>
        <w:t>2</w:t>
      </w:r>
      <w:r>
        <w:rPr>
          <w:rFonts w:hint="eastAsia" w:ascii="华文中宋" w:hAnsi="华文中宋" w:eastAsia="华文中宋" w:cs="华文中宋"/>
          <w:color w:val="auto"/>
          <w:kern w:val="0"/>
          <w:szCs w:val="21"/>
          <w:highlight w:val="none"/>
        </w:rPr>
        <w:t>. 舞弊或违纪受处分者，舞弊或违纪者直接退出，不受比例限制。</w:t>
      </w:r>
    </w:p>
    <w:p w14:paraId="3928FB9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en-US" w:eastAsia="zh-CN"/>
        </w:rPr>
        <w:t>3</w:t>
      </w:r>
      <w:r>
        <w:rPr>
          <w:rFonts w:hint="eastAsia" w:ascii="华文中宋" w:hAnsi="华文中宋" w:eastAsia="华文中宋" w:cs="华文中宋"/>
          <w:color w:val="auto"/>
          <w:kern w:val="0"/>
          <w:szCs w:val="21"/>
          <w:highlight w:val="none"/>
        </w:rPr>
        <w:t>. 学期内必修课挂科超过两门者直接退出，不受比例限制。</w:t>
      </w:r>
    </w:p>
    <w:p w14:paraId="5AD582E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en-US" w:eastAsia="zh-CN"/>
        </w:rPr>
        <w:t>4</w:t>
      </w:r>
      <w:r>
        <w:rPr>
          <w:rFonts w:hint="eastAsia" w:ascii="华文中宋" w:hAnsi="华文中宋" w:eastAsia="华文中宋" w:cs="华文中宋"/>
          <w:color w:val="auto"/>
          <w:kern w:val="0"/>
          <w:szCs w:val="21"/>
          <w:highlight w:val="none"/>
        </w:rPr>
        <w:t>. 学期初，学生可根据情况申请“自动退出”，通过后转至本院其他专业。</w:t>
      </w:r>
    </w:p>
    <w:p w14:paraId="5F62674E">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highlight w:val="none"/>
        </w:rPr>
      </w:pPr>
      <w:r>
        <w:rPr>
          <w:rFonts w:hint="eastAsia" w:ascii="华文中宋" w:hAnsi="华文中宋" w:eastAsia="华文中宋" w:cs="华文中宋"/>
          <w:color w:val="auto"/>
          <w:kern w:val="0"/>
          <w:szCs w:val="21"/>
          <w:highlight w:val="none"/>
          <w:lang w:val="en-US" w:eastAsia="zh-CN"/>
        </w:rPr>
        <w:t>5</w:t>
      </w:r>
      <w:r>
        <w:rPr>
          <w:rFonts w:hint="eastAsia" w:ascii="华文中宋" w:hAnsi="华文中宋" w:eastAsia="华文中宋" w:cs="华文中宋"/>
          <w:color w:val="auto"/>
          <w:kern w:val="0"/>
          <w:szCs w:val="21"/>
          <w:highlight w:val="none"/>
        </w:rPr>
        <w:t>. 不满足转入所在专业或方向一学年的同学不得参与奖学金评定和申请。</w:t>
      </w:r>
    </w:p>
    <w:p w14:paraId="6A9F21C4">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宋体" w:hAnsi="宋体" w:eastAsia="宋体" w:cs="Segoe UI"/>
          <w:i/>
          <w:color w:val="auto"/>
          <w:kern w:val="0"/>
          <w:szCs w:val="21"/>
          <w:highlight w:val="none"/>
        </w:rPr>
      </w:pPr>
      <w:r>
        <w:rPr>
          <w:rFonts w:hint="eastAsia" w:ascii="华文中宋" w:hAnsi="华文中宋" w:eastAsia="华文中宋" w:cs="华文中宋"/>
          <w:color w:val="auto"/>
          <w:kern w:val="0"/>
          <w:szCs w:val="21"/>
          <w:highlight w:val="none"/>
          <w:lang w:val="en-US" w:eastAsia="zh-CN"/>
        </w:rPr>
        <w:t>6</w:t>
      </w:r>
      <w:r>
        <w:rPr>
          <w:rFonts w:hint="eastAsia" w:ascii="华文中宋" w:hAnsi="华文中宋" w:eastAsia="华文中宋" w:cs="华文中宋"/>
          <w:color w:val="auto"/>
          <w:kern w:val="0"/>
          <w:szCs w:val="21"/>
          <w:highlight w:val="none"/>
        </w:rPr>
        <w:t>. 自动退出并转至本院其他专业的学生不占当年转入名额，需签订自愿退出和调剂情况说明书。</w:t>
      </w:r>
    </w:p>
    <w:p w14:paraId="26842E52">
      <w:pPr>
        <w:pageBreakBefore w:val="0"/>
        <w:widowControl/>
        <w:kinsoku/>
        <w:wordWrap/>
        <w:overflowPunct/>
        <w:topLinePunct w:val="0"/>
        <w:autoSpaceDE/>
        <w:autoSpaceDN/>
        <w:bidi w:val="0"/>
        <w:snapToGrid/>
        <w:jc w:val="left"/>
        <w:outlineLvl w:val="9"/>
        <w:rPr>
          <w:rFonts w:ascii="宋体" w:hAnsi="宋体" w:eastAsia="宋体" w:cs="Segoe UI"/>
          <w:i/>
          <w:color w:val="auto"/>
          <w:kern w:val="0"/>
          <w:szCs w:val="21"/>
        </w:rPr>
      </w:pPr>
    </w:p>
    <w:p w14:paraId="081931D7">
      <w:pPr>
        <w:pageBreakBefore w:val="0"/>
        <w:widowControl/>
        <w:kinsoku/>
        <w:wordWrap/>
        <w:overflowPunct/>
        <w:topLinePunct w:val="0"/>
        <w:autoSpaceDE/>
        <w:autoSpaceDN/>
        <w:bidi w:val="0"/>
        <w:snapToGrid/>
        <w:jc w:val="left"/>
        <w:outlineLvl w:val="9"/>
        <w:rPr>
          <w:rFonts w:ascii="宋体" w:hAnsi="宋体" w:eastAsia="宋体" w:cs="Segoe UI"/>
          <w:i/>
          <w:color w:val="auto"/>
          <w:kern w:val="0"/>
          <w:szCs w:val="21"/>
        </w:rPr>
      </w:pPr>
    </w:p>
    <w:p w14:paraId="0B416CEB">
      <w:pPr>
        <w:pageBreakBefore w:val="0"/>
        <w:numPr>
          <w:ilvl w:val="0"/>
          <w:numId w:val="1"/>
        </w:numPr>
        <w:kinsoku/>
        <w:wordWrap/>
        <w:overflowPunct/>
        <w:topLinePunct w:val="0"/>
        <w:autoSpaceDE/>
        <w:autoSpaceDN/>
        <w:bidi w:val="0"/>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毕业论文（设计）</w:t>
      </w:r>
    </w:p>
    <w:p w14:paraId="5070B8BC">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lang w:val="zh-CN"/>
        </w:rPr>
        <w:t>毕业论文是统计学本科学生在掌握本门学科的基础理论、专门知识和基本技能的基础上，进行科学研究工作的训练，</w:t>
      </w:r>
      <w:r>
        <w:rPr>
          <w:rFonts w:hint="eastAsia" w:ascii="华文中宋" w:hAnsi="华文中宋" w:eastAsia="华文中宋" w:cs="华文中宋"/>
          <w:color w:val="auto"/>
          <w:kern w:val="0"/>
          <w:szCs w:val="21"/>
        </w:rPr>
        <w:t>是</w:t>
      </w:r>
      <w:r>
        <w:rPr>
          <w:rFonts w:hint="eastAsia" w:ascii="华文中宋" w:hAnsi="华文中宋" w:eastAsia="华文中宋" w:cs="华文中宋"/>
          <w:color w:val="auto"/>
          <w:kern w:val="0"/>
          <w:szCs w:val="21"/>
          <w:lang w:val="zh-CN"/>
        </w:rPr>
        <w:t>培养独立工作能力、全面提高教学质量的重要环节。第八学期学生必须在老师指导下独立完成毕业论文的写作。具体要求见《上海财经大学本科学生毕业论文（设计）工作的规定》。</w:t>
      </w:r>
    </w:p>
    <w:p w14:paraId="0F6BE64E">
      <w:pPr>
        <w:pageBreakBefore w:val="0"/>
        <w:widowControl/>
        <w:kinsoku/>
        <w:wordWrap/>
        <w:overflowPunct/>
        <w:topLinePunct w:val="0"/>
        <w:autoSpaceDE/>
        <w:autoSpaceDN/>
        <w:bidi w:val="0"/>
        <w:snapToGrid/>
        <w:jc w:val="left"/>
        <w:outlineLvl w:val="9"/>
        <w:rPr>
          <w:rFonts w:asciiTheme="minorEastAsia" w:hAnsiTheme="minorEastAsia"/>
          <w:i/>
          <w:color w:val="auto"/>
          <w:szCs w:val="21"/>
        </w:rPr>
      </w:pPr>
    </w:p>
    <w:p w14:paraId="396F084A">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成绩考核</w:t>
      </w:r>
    </w:p>
    <w:p w14:paraId="0B2B1064">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lang w:val="zh-CN"/>
        </w:rPr>
        <w:t>为巩固学生所学知识，检查教学效果，保证教学质量，严格执行考核制度。考核合格，给予相应的成绩。各门课程分别记载学分、成绩与绩点。具体规定详见《上海财经大学本科学生学籍管理实施细则》和《上海财经大学</w:t>
      </w:r>
      <w:r>
        <w:rPr>
          <w:rFonts w:hint="eastAsia" w:ascii="华文中宋" w:hAnsi="华文中宋" w:eastAsia="华文中宋" w:cs="华文中宋"/>
          <w:color w:val="auto"/>
          <w:kern w:val="0"/>
          <w:szCs w:val="21"/>
          <w:lang w:val="en-US" w:eastAsia="zh-CN"/>
        </w:rPr>
        <w:t>本科</w:t>
      </w:r>
      <w:r>
        <w:rPr>
          <w:rFonts w:hint="eastAsia" w:ascii="华文中宋" w:hAnsi="华文中宋" w:eastAsia="华文中宋" w:cs="华文中宋"/>
          <w:color w:val="auto"/>
          <w:kern w:val="0"/>
          <w:szCs w:val="21"/>
          <w:lang w:val="zh-CN"/>
        </w:rPr>
        <w:t>学生课程考核管理办法》。</w:t>
      </w:r>
    </w:p>
    <w:p w14:paraId="0E207192">
      <w:pPr>
        <w:pageBreakBefore w:val="0"/>
        <w:widowControl/>
        <w:kinsoku/>
        <w:wordWrap/>
        <w:overflowPunct/>
        <w:topLinePunct w:val="0"/>
        <w:autoSpaceDE/>
        <w:autoSpaceDN/>
        <w:bidi w:val="0"/>
        <w:snapToGrid/>
        <w:jc w:val="left"/>
        <w:outlineLvl w:val="9"/>
        <w:rPr>
          <w:rFonts w:asciiTheme="minorEastAsia" w:hAnsiTheme="minorEastAsia"/>
          <w:i/>
          <w:color w:val="auto"/>
          <w:szCs w:val="21"/>
          <w:lang w:val="zh-CN"/>
        </w:rPr>
      </w:pPr>
    </w:p>
    <w:p w14:paraId="0DB1AC15">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科学研究</w:t>
      </w:r>
    </w:p>
    <w:p w14:paraId="0CCF241A">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lang w:val="zh-CN"/>
        </w:rPr>
        <w:t>本专业为使学生逐步掌握科学研究的基本方法，提高学生的科学研究能力，培养和提高学生认识问题、分析问题和解决问题的能力，引导和组织学生参加学术探讨和科学研究，积极鼓励学生参与社会和经济领域的学术活动，提倡学生结合课程教学、社会实践等开展科研活动。对科研成绩优秀的学生，将在优秀学生、奖学金等的评定中给予优先考虑，对成绩显著者，将另行给予奖励。</w:t>
      </w:r>
    </w:p>
    <w:p w14:paraId="01A8AFC6">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rPr>
        <w:t>同时，</w:t>
      </w:r>
      <w:r>
        <w:rPr>
          <w:rFonts w:hint="eastAsia" w:ascii="华文中宋" w:hAnsi="华文中宋" w:eastAsia="华文中宋" w:cs="华文中宋"/>
          <w:color w:val="auto"/>
          <w:kern w:val="0"/>
          <w:szCs w:val="21"/>
          <w:lang w:val="zh-CN"/>
        </w:rPr>
        <w:t>本专业方向注重加强实验室、实习实训基地、实践教学共享平台建设，积极构建多层次实践课程体系。让学生通过参加社会实践活动、团学联与社团活动、学术报告与讲座、创新创业训练项目等第二课堂活动，增强对专业理论知识的理解和应用。同时本专业学生需要参加8周的社会实习</w:t>
      </w:r>
      <w:r>
        <w:rPr>
          <w:rFonts w:hint="eastAsia" w:ascii="华文中宋" w:hAnsi="华文中宋" w:eastAsia="华文中宋" w:cs="华文中宋"/>
          <w:color w:val="auto"/>
          <w:kern w:val="0"/>
          <w:szCs w:val="21"/>
        </w:rPr>
        <w:t>以</w:t>
      </w:r>
      <w:r>
        <w:rPr>
          <w:rFonts w:hint="eastAsia" w:ascii="华文中宋" w:hAnsi="华文中宋" w:eastAsia="华文中宋" w:cs="华文中宋"/>
          <w:color w:val="auto"/>
          <w:kern w:val="0"/>
          <w:szCs w:val="21"/>
          <w:lang w:val="zh-CN"/>
        </w:rPr>
        <w:t>进一步提升社会实践能力，在此基础之上学生可总结在校期间的学习成果，综合性地、创造性地运用所学知识和技能撰写毕业论文。</w:t>
      </w:r>
    </w:p>
    <w:p w14:paraId="3F6BE67E">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lang w:val="zh-CN"/>
        </w:rPr>
        <w:t>为提高学生的实际操作能力和工作能力，培养学生的综合素质，本专业方向的学生需修满</w:t>
      </w:r>
      <w:r>
        <w:rPr>
          <w:rFonts w:hint="eastAsia" w:ascii="华文中宋" w:hAnsi="华文中宋" w:eastAsia="华文中宋" w:cs="华文中宋"/>
          <w:color w:val="auto"/>
          <w:kern w:val="0"/>
          <w:szCs w:val="21"/>
        </w:rPr>
        <w:t>147</w:t>
      </w:r>
      <w:r>
        <w:rPr>
          <w:rFonts w:hint="eastAsia" w:ascii="华文中宋" w:hAnsi="华文中宋" w:eastAsia="华文中宋" w:cs="华文中宋"/>
          <w:color w:val="auto"/>
          <w:kern w:val="0"/>
          <w:szCs w:val="21"/>
          <w:lang w:val="zh-CN"/>
        </w:rPr>
        <w:t>学分后方可毕业。其中课堂教学环节</w:t>
      </w:r>
      <w:r>
        <w:rPr>
          <w:rFonts w:hint="eastAsia" w:ascii="华文中宋" w:hAnsi="华文中宋" w:eastAsia="华文中宋" w:cs="华文中宋"/>
          <w:color w:val="auto"/>
          <w:kern w:val="0"/>
          <w:szCs w:val="21"/>
        </w:rPr>
        <w:t>12</w:t>
      </w:r>
      <w:r>
        <w:rPr>
          <w:rFonts w:hint="eastAsia" w:ascii="华文中宋" w:hAnsi="华文中宋" w:eastAsia="华文中宋" w:cs="华文中宋"/>
          <w:color w:val="auto"/>
          <w:kern w:val="0"/>
          <w:szCs w:val="21"/>
          <w:lang w:val="en-US" w:eastAsia="zh-CN"/>
        </w:rPr>
        <w:t>5</w:t>
      </w:r>
      <w:r>
        <w:rPr>
          <w:rFonts w:hint="eastAsia" w:ascii="华文中宋" w:hAnsi="华文中宋" w:eastAsia="华文中宋" w:cs="华文中宋"/>
          <w:color w:val="auto"/>
          <w:kern w:val="0"/>
          <w:szCs w:val="21"/>
          <w:lang w:val="zh-CN"/>
        </w:rPr>
        <w:t>学分，本专业学生在校期间需完成</w:t>
      </w:r>
      <w:r>
        <w:rPr>
          <w:rFonts w:hint="eastAsia" w:ascii="华文中宋" w:hAnsi="华文中宋" w:eastAsia="华文中宋" w:cs="华文中宋"/>
          <w:color w:val="auto"/>
          <w:kern w:val="0"/>
          <w:szCs w:val="21"/>
          <w:lang w:val="en-US" w:eastAsia="zh-CN"/>
        </w:rPr>
        <w:t>14</w:t>
      </w:r>
      <w:r>
        <w:rPr>
          <w:rFonts w:hint="eastAsia" w:ascii="华文中宋" w:hAnsi="华文中宋" w:eastAsia="华文中宋" w:cs="华文中宋"/>
          <w:color w:val="auto"/>
          <w:kern w:val="0"/>
          <w:szCs w:val="21"/>
          <w:lang w:val="zh-CN"/>
        </w:rPr>
        <w:t>个学分的第二课堂学习，内容包括军训、体育锻炼和实践教育；鼓励学生结合所学专业知识，自主开展各类实习、社会实践和社会调查活</w:t>
      </w:r>
      <w:r>
        <w:rPr>
          <w:rFonts w:hint="eastAsia" w:ascii="华文中宋" w:hAnsi="华文中宋" w:eastAsia="华文中宋" w:cs="华文中宋"/>
          <w:color w:val="auto"/>
          <w:kern w:val="0"/>
          <w:szCs w:val="21"/>
          <w:lang w:val="en-US" w:eastAsia="zh-CN"/>
        </w:rPr>
        <w:t>动14.97</w:t>
      </w:r>
      <w:r>
        <w:rPr>
          <w:rFonts w:hint="eastAsia" w:ascii="华文中宋" w:hAnsi="华文中宋" w:eastAsia="华文中宋" w:cs="华文中宋"/>
          <w:color w:val="auto"/>
          <w:kern w:val="0"/>
          <w:szCs w:val="21"/>
          <w:lang w:val="zh-CN"/>
        </w:rPr>
        <w:t>%。</w:t>
      </w:r>
    </w:p>
    <w:p w14:paraId="29764605">
      <w:pPr>
        <w:pageBreakBefore w:val="0"/>
        <w:widowControl/>
        <w:kinsoku/>
        <w:wordWrap/>
        <w:overflowPunct/>
        <w:topLinePunct w:val="0"/>
        <w:autoSpaceDE/>
        <w:autoSpaceDN/>
        <w:bidi w:val="0"/>
        <w:snapToGrid/>
        <w:jc w:val="left"/>
        <w:outlineLvl w:val="9"/>
        <w:rPr>
          <w:rFonts w:asciiTheme="minorEastAsia" w:hAnsiTheme="minorEastAsia"/>
          <w:i/>
          <w:color w:val="auto"/>
          <w:szCs w:val="21"/>
        </w:rPr>
      </w:pPr>
    </w:p>
    <w:p w14:paraId="3968EF61">
      <w:pPr>
        <w:pageBreakBefore w:val="0"/>
        <w:numPr>
          <w:ilvl w:val="0"/>
          <w:numId w:val="1"/>
        </w:numPr>
        <w:kinsoku/>
        <w:wordWrap/>
        <w:overflowPunct/>
        <w:topLinePunct w:val="0"/>
        <w:autoSpaceDE/>
        <w:autoSpaceDN/>
        <w:bidi w:val="0"/>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学制与学位</w:t>
      </w:r>
    </w:p>
    <w:p w14:paraId="612C9334">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lang w:val="zh-CN"/>
        </w:rPr>
        <w:t>本专业教育实行四学年的基本学制，并实行弹性学制。凡按教学计划和有关规定，提前学完全部课程，取得相应的学分，符合毕业条件者，允许提前毕业，或辅修另一专业的主干课程。学生在符合有关规定的条件下，可延长在校学习期限，但最长不得超过两年延长期。具体规定详见《上海财经大学本科学生学籍管理实施细则》、《上海财经大学本科辅修专业、辅修学位教育</w:t>
      </w:r>
      <w:r>
        <w:rPr>
          <w:rFonts w:hint="eastAsia" w:ascii="华文中宋" w:hAnsi="华文中宋" w:eastAsia="华文中宋" w:cs="华文中宋"/>
          <w:color w:val="auto"/>
          <w:kern w:val="0"/>
          <w:szCs w:val="21"/>
          <w:lang w:val="en-US" w:eastAsia="zh-CN"/>
        </w:rPr>
        <w:t>管理办法</w:t>
      </w:r>
      <w:r>
        <w:rPr>
          <w:rFonts w:hint="eastAsia" w:ascii="华文中宋" w:hAnsi="华文中宋" w:eastAsia="华文中宋" w:cs="华文中宋"/>
          <w:color w:val="auto"/>
          <w:kern w:val="0"/>
          <w:szCs w:val="21"/>
          <w:lang w:val="zh-CN"/>
        </w:rPr>
        <w:t>》等。</w:t>
      </w:r>
    </w:p>
    <w:p w14:paraId="06182030">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ind w:firstLine="420" w:firstLineChars="200"/>
        <w:jc w:val="left"/>
        <w:outlineLvl w:val="9"/>
        <w:rPr>
          <w:rFonts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lang w:val="zh-CN"/>
        </w:rPr>
        <w:t>本专业学生在规定的时间内完成培养方案规定的全部课程和学习任务，获得相应的学分，准予毕业并发给毕业证书。毕业生符合《中华人民共和国学位</w:t>
      </w:r>
      <w:r>
        <w:rPr>
          <w:rFonts w:hint="eastAsia" w:ascii="华文中宋" w:hAnsi="华文中宋" w:eastAsia="华文中宋" w:cs="华文中宋"/>
          <w:color w:val="auto"/>
          <w:kern w:val="0"/>
          <w:szCs w:val="21"/>
          <w:lang w:val="en-US" w:eastAsia="zh-CN"/>
        </w:rPr>
        <w:t>法</w:t>
      </w:r>
      <w:r>
        <w:rPr>
          <w:rFonts w:hint="eastAsia" w:ascii="华文中宋" w:hAnsi="华文中宋" w:eastAsia="华文中宋" w:cs="华文中宋"/>
          <w:color w:val="auto"/>
          <w:kern w:val="0"/>
          <w:szCs w:val="21"/>
          <w:lang w:val="zh-CN"/>
        </w:rPr>
        <w:t>》和学校的有关规定者，经学校学位委员会审查通过，授予理学学士学位。</w:t>
      </w:r>
    </w:p>
    <w:p w14:paraId="6697934C">
      <w:pPr>
        <w:pageBreakBefore w:val="0"/>
        <w:kinsoku/>
        <w:wordWrap/>
        <w:overflowPunct/>
        <w:topLinePunct w:val="0"/>
        <w:autoSpaceDE/>
        <w:autoSpaceDN/>
        <w:bidi w:val="0"/>
        <w:snapToGrid/>
        <w:spacing w:before="156" w:beforeLines="50" w:after="156" w:afterLines="50"/>
        <w:outlineLvl w:val="9"/>
        <w:rPr>
          <w:rFonts w:asciiTheme="minorEastAsia" w:hAnsiTheme="minorEastAsia"/>
          <w:i/>
          <w:color w:val="auto"/>
          <w:szCs w:val="21"/>
        </w:rPr>
      </w:pPr>
    </w:p>
    <w:p w14:paraId="67046D2B">
      <w:pPr>
        <w:pageBreakBefore w:val="0"/>
        <w:kinsoku/>
        <w:wordWrap/>
        <w:overflowPunct/>
        <w:topLinePunct w:val="0"/>
        <w:autoSpaceDE/>
        <w:autoSpaceDN/>
        <w:bidi w:val="0"/>
        <w:snapToGrid/>
        <w:outlineLvl w:val="9"/>
        <w:rPr>
          <w:color w:val="auto"/>
          <w:szCs w:val="21"/>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AF8643C">
      <w:pPr>
        <w:pStyle w:val="3"/>
        <w:bidi w:val="0"/>
        <w:rPr>
          <w:rFonts w:hint="eastAsia"/>
        </w:rPr>
      </w:pPr>
      <w:r>
        <w:rPr>
          <w:rFonts w:hint="eastAsia"/>
        </w:rPr>
        <w:t>统计与数据科学学院统计学（基地班）专业</w:t>
      </w:r>
    </w:p>
    <w:p w14:paraId="45035205">
      <w:pPr>
        <w:pStyle w:val="3"/>
        <w:bidi w:val="0"/>
        <w:rPr>
          <w:color w:val="auto"/>
          <w:szCs w:val="21"/>
        </w:rPr>
      </w:pPr>
      <w:r>
        <w:rPr>
          <w:rFonts w:hint="eastAsia"/>
        </w:rPr>
        <w:t>2025级本科生修读建议</w:t>
      </w:r>
    </w:p>
    <w:tbl>
      <w:tblPr>
        <w:tblStyle w:val="17"/>
        <w:tblW w:w="9824" w:type="dxa"/>
        <w:jc w:val="center"/>
        <w:tblLayout w:type="fixed"/>
        <w:tblCellMar>
          <w:top w:w="0" w:type="dxa"/>
          <w:left w:w="108" w:type="dxa"/>
          <w:bottom w:w="0" w:type="dxa"/>
          <w:right w:w="108" w:type="dxa"/>
        </w:tblCellMar>
      </w:tblPr>
      <w:tblGrid>
        <w:gridCol w:w="368"/>
        <w:gridCol w:w="432"/>
        <w:gridCol w:w="1404"/>
        <w:gridCol w:w="864"/>
        <w:gridCol w:w="2282"/>
        <w:gridCol w:w="672"/>
        <w:gridCol w:w="706"/>
        <w:gridCol w:w="1879"/>
        <w:gridCol w:w="1217"/>
      </w:tblGrid>
      <w:tr w14:paraId="6D008838">
        <w:tblPrEx>
          <w:tblCellMar>
            <w:top w:w="0" w:type="dxa"/>
            <w:left w:w="108" w:type="dxa"/>
            <w:bottom w:w="0" w:type="dxa"/>
            <w:right w:w="108" w:type="dxa"/>
          </w:tblCellMar>
        </w:tblPrEx>
        <w:trPr>
          <w:trHeight w:val="631" w:hRule="atLeast"/>
          <w:jc w:val="center"/>
        </w:trPr>
        <w:tc>
          <w:tcPr>
            <w:tcW w:w="2204" w:type="dxa"/>
            <w:gridSpan w:val="3"/>
            <w:tcBorders>
              <w:top w:val="single" w:color="000000" w:sz="4" w:space="0"/>
              <w:left w:val="single" w:color="000000" w:sz="4" w:space="0"/>
              <w:bottom w:val="single" w:color="000000" w:sz="4" w:space="0"/>
              <w:right w:val="single" w:color="000000" w:sz="4" w:space="0"/>
            </w:tcBorders>
            <w:shd w:val="clear" w:color="auto" w:fill="C7DBFF"/>
            <w:vAlign w:val="center"/>
          </w:tcPr>
          <w:p w14:paraId="21BF40C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分类</w:t>
            </w:r>
          </w:p>
        </w:tc>
        <w:tc>
          <w:tcPr>
            <w:tcW w:w="864"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4123FBD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课程代码</w:t>
            </w:r>
          </w:p>
        </w:tc>
        <w:tc>
          <w:tcPr>
            <w:tcW w:w="228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1C8124C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课程名称</w:t>
            </w:r>
          </w:p>
        </w:tc>
        <w:tc>
          <w:tcPr>
            <w:tcW w:w="67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216C863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学分</w:t>
            </w:r>
          </w:p>
        </w:tc>
        <w:tc>
          <w:tcPr>
            <w:tcW w:w="706"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5B65ADF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建议修读学期</w:t>
            </w:r>
          </w:p>
        </w:tc>
        <w:tc>
          <w:tcPr>
            <w:tcW w:w="1879"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66D0C41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开课院系</w:t>
            </w:r>
          </w:p>
        </w:tc>
        <w:tc>
          <w:tcPr>
            <w:tcW w:w="1217"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71FF5F8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备注</w:t>
            </w:r>
          </w:p>
        </w:tc>
      </w:tr>
      <w:tr w14:paraId="75AE580B">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876C5CD">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通识教育课程</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F3440">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通识教育核心课程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42883">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思想政治理论课程模块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D1F9">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102985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39FD">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中国近现代史纲要</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746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76E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1DF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6B98">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419064B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74962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24A0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F279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A4E7">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101156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F6DA">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形势与政策</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E73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9AB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9DD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3E21">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2D9C410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746319">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8CC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767D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69C3">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101938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42C5">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思想道德与法治</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4CB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F24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A01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284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679C9A80">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76A930">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590E0">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38D3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0E0E">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104792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2D31">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⽑泽东思想和中国特⾊社会主义理论体系概论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7F4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9AE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9C4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71FC">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55F31E1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E0050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BAC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07CA0">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C42B">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103638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686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⻢克思主义基本原理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4B6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583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6A7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BA62">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4E8305E6">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D52B3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6FFC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F03E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9EDE">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104793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7E58">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习近平新时代中国特色社会主义思想概论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CBB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F0F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C96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C77E">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B0B23B7">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8637F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E291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C3FA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409F8">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506C">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3D90">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tcPr>
          <w:p w14:paraId="61AFA097">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B48C">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FE1671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6620E8">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9670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2766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4EE64">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理论素养教育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22C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26A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C5F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6083">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p>
        </w:tc>
      </w:tr>
      <w:tr w14:paraId="77106D57">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3DC876">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01330">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CD46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731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15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2751">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4DF4">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6952">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0F91C43E">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3F9AC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21EB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0F21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通识限选课程七大模块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49BF3">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（经典阅读与历史⽂化传承）  限选课</w:t>
            </w:r>
          </w:p>
        </w:tc>
        <w:tc>
          <w:tcPr>
            <w:tcW w:w="672" w:type="dxa"/>
            <w:tcBorders>
              <w:top w:val="nil"/>
              <w:left w:val="single" w:color="000000" w:sz="4" w:space="0"/>
              <w:bottom w:val="single" w:color="000000" w:sz="4" w:space="0"/>
              <w:right w:val="single" w:color="000000" w:sz="4" w:space="0"/>
            </w:tcBorders>
            <w:shd w:val="clear" w:color="auto" w:fill="auto"/>
            <w:vAlign w:val="center"/>
          </w:tcPr>
          <w:p w14:paraId="5EEF7E3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restart"/>
            <w:tcBorders>
              <w:top w:val="single" w:color="000000" w:sz="4" w:space="0"/>
              <w:left w:val="single" w:color="000000" w:sz="4" w:space="0"/>
              <w:right w:val="single" w:color="000000" w:sz="4" w:space="0"/>
            </w:tcBorders>
            <w:shd w:val="clear" w:color="auto" w:fill="auto"/>
            <w:vAlign w:val="center"/>
          </w:tcPr>
          <w:p w14:paraId="24C9BBA7">
            <w:pPr>
              <w:pageBreakBefore w:val="0"/>
              <w:kinsoku/>
              <w:wordWrap/>
              <w:overflowPunct/>
              <w:topLinePunct w:val="0"/>
              <w:autoSpaceDE/>
              <w:autoSpaceDN/>
              <w:bidi w:val="0"/>
              <w:snapToGrid/>
              <w:jc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sz w:val="18"/>
                <w:szCs w:val="18"/>
                <w:lang w:val="en-US" w:eastAsia="zh-CN"/>
              </w:rPr>
              <w:t>1-7</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CDEE">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9229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七个模块中选择四个修读，详见通识限选课程培养方案</w:t>
            </w:r>
          </w:p>
        </w:tc>
      </w:tr>
      <w:tr w14:paraId="006859A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2244E1">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95B1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80B5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728B4">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（哲学思辨与伦理规范）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21B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48661B6E">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1CAC">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3BC3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08AD3F3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43528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2B5A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EB18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CC822">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通识模块三  （艺术修养与运动健康）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762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516F79AD">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D4F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4D50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753C4FB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5EFA5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7DCB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C0A6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8507C">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通识模块四  （经济分析与数学思维）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85E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14D2CFFC">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A5D3">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3811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70EAAE7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CAB25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96AEE">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821C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57A2F">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通识模块五  （社会分析与公⺠素养）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263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5ECF7D85">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2EFB">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A40F4">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6B1E3CE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6335B80">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22B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322B2">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6DA70">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通识模块六  （科学探索与智能素养）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B10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78618E03">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05B2">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15A33">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33320F2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12623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F007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2CF2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29CF6">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通识模块七  （</w:t>
            </w:r>
            <w:r>
              <w:rPr>
                <w:rFonts w:hint="eastAsia" w:ascii="微软雅黑" w:hAnsi="微软雅黑" w:cs="微软雅黑"/>
                <w:b/>
                <w:bCs/>
                <w:color w:val="auto"/>
                <w:kern w:val="0"/>
                <w:sz w:val="13"/>
                <w:szCs w:val="13"/>
                <w:lang w:eastAsia="zh-CN" w:bidi="ar"/>
              </w:rPr>
              <w:t>文明互鉴与全球领导力</w:t>
            </w:r>
            <w:r>
              <w:rPr>
                <w:rFonts w:hint="eastAsia" w:ascii="微软雅黑" w:hAnsi="微软雅黑" w:cs="微软雅黑"/>
                <w:b/>
                <w:bCs/>
                <w:color w:val="auto"/>
                <w:kern w:val="0"/>
                <w:sz w:val="13"/>
                <w:szCs w:val="13"/>
                <w:lang w:bidi="ar"/>
              </w:rPr>
              <w:t>）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31E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bottom w:val="single" w:color="000000" w:sz="4" w:space="0"/>
              <w:right w:val="single" w:color="000000" w:sz="4" w:space="0"/>
            </w:tcBorders>
            <w:shd w:val="clear" w:color="auto" w:fill="auto"/>
            <w:vAlign w:val="center"/>
          </w:tcPr>
          <w:p w14:paraId="41834F06">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66E">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56E3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22BE24C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7CC0A3">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E2C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7345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039C9">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选修学分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ACBC">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8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848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9463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CDDB">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6115E442">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958E14">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78806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329B">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23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44D0">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DDF8">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370E">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9480FF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E29F74">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BF90F">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专项教育课程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E9F12">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外语课程模块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96196">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8E7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007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B1C5">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A92A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详见外语课程培养方案</w:t>
            </w:r>
          </w:p>
        </w:tc>
      </w:tr>
      <w:tr w14:paraId="533BA3A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C986824">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13F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608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6735D">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798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C3A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D42D">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09045">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0510A28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02D9F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FF84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55E38">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C3F51">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eastAsia="zh-CN" w:bidi="ar"/>
              </w:rPr>
              <w:t>多语与跨文化沟通</w:t>
            </w:r>
            <w:r>
              <w:rPr>
                <w:rFonts w:hint="eastAsia" w:ascii="微软雅黑" w:hAnsi="微软雅黑" w:cs="微软雅黑"/>
                <w:color w:val="auto"/>
                <w:kern w:val="0"/>
                <w:sz w:val="18"/>
                <w:szCs w:val="18"/>
                <w:lang w:bidi="ar"/>
              </w:rPr>
              <w:t>模块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F05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6693">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C4C2">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3188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4614466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38B4D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E901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AC97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F2DB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F018">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930C">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146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22C9">
            <w:pPr>
              <w:pageBreakBefore w:val="0"/>
              <w:kinsoku/>
              <w:wordWrap/>
              <w:overflowPunct/>
              <w:topLinePunct w:val="0"/>
              <w:autoSpaceDE/>
              <w:autoSpaceDN/>
              <w:bidi w:val="0"/>
              <w:snapToGrid/>
              <w:outlineLvl w:val="9"/>
              <w:rPr>
                <w:rFonts w:ascii="微软雅黑" w:hAnsi="微软雅黑" w:cs="微软雅黑"/>
                <w:color w:val="auto"/>
                <w:sz w:val="18"/>
                <w:szCs w:val="18"/>
              </w:rPr>
            </w:pPr>
          </w:p>
        </w:tc>
      </w:tr>
      <w:tr w14:paraId="672AD32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DE6911">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15DC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6B83E">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体育课程模块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6D10E">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D83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461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BC3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B7E5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详见体育课程培养方案</w:t>
            </w:r>
          </w:p>
        </w:tc>
      </w:tr>
      <w:tr w14:paraId="2730A62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F4640C">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F267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41BC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A1B4D">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1E6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4A6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7FE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98284">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73F9B44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62A905">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AD48C">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CD6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C103B">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62E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007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353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B6FB8">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4BC5443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8681E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260E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C1332">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9557C">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IV</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345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B8B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A55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2D86A">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6272F6B7">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D770A9">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9EC7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09E3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284C9">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体育锻炼</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06E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 xml:space="preserve">0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D89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5-6</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E38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AC275">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r>
      <w:tr w14:paraId="2B6638C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6FC031">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FF5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CFA9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60CA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68E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861E">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EDB6">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3D87">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18DC8E1E">
        <w:tblPrEx>
          <w:tblCellMar>
            <w:top w:w="0" w:type="dxa"/>
            <w:left w:w="108" w:type="dxa"/>
            <w:bottom w:w="0" w:type="dxa"/>
            <w:right w:w="108" w:type="dxa"/>
          </w:tblCellMar>
        </w:tblPrEx>
        <w:trPr>
          <w:trHeight w:val="409"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9D619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4DCC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5B33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人工智能课程模块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8D1D">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107260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7198">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《人工智能导论（B）》</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A8D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102D">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554D">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6BB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可选修《人工智能导论（A）》课程做替换</w:t>
            </w:r>
          </w:p>
        </w:tc>
      </w:tr>
      <w:tr w14:paraId="68034C22">
        <w:tblPrEx>
          <w:tblCellMar>
            <w:top w:w="0" w:type="dxa"/>
            <w:left w:w="108" w:type="dxa"/>
            <w:bottom w:w="0" w:type="dxa"/>
            <w:right w:w="108" w:type="dxa"/>
          </w:tblCellMar>
        </w:tblPrEx>
        <w:trPr>
          <w:trHeight w:val="395"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44D184">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68CC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336E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E5E37">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2817">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D878">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2C77">
            <w:pPr>
              <w:pageBreakBefore w:val="0"/>
              <w:kinsoku/>
              <w:wordWrap/>
              <w:overflowPunct/>
              <w:topLinePunct w:val="0"/>
              <w:autoSpaceDE/>
              <w:autoSpaceDN/>
              <w:bidi w:val="0"/>
              <w:snapToGrid/>
              <w:jc w:val="left"/>
              <w:outlineLvl w:val="9"/>
              <w:rPr>
                <w:rFonts w:ascii="微软雅黑" w:hAnsi="微软雅黑" w:cs="微软雅黑"/>
                <w:b/>
                <w:bCs/>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A5E6">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250A981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8C9D8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504F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C29F0">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健康教育模块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8420">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106001</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9259">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卫⽣保健</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282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9AB1">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6FA9">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医疗健康服务中⼼</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8DCC">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0CCF1A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78663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55178">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3697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0A9F">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106233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2A11">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大学生心理健康与发展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84E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BFB7">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A23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党委学生工作部</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DCA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2BA7D70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5E6EFB">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43D3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D635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9B9D9">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678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EB5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tcPr>
          <w:p w14:paraId="0AB3E4CA">
            <w:pPr>
              <w:pageBreakBefore w:val="0"/>
              <w:kinsoku/>
              <w:wordWrap/>
              <w:overflowPunct/>
              <w:topLinePunct w:val="0"/>
              <w:autoSpaceDE/>
              <w:autoSpaceDN/>
              <w:bidi w:val="0"/>
              <w:snapToGrid/>
              <w:jc w:val="left"/>
              <w:outlineLvl w:val="9"/>
              <w:rPr>
                <w:rFonts w:cs="Arial"/>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C2B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55B4353E">
        <w:tblPrEx>
          <w:tblCellMar>
            <w:top w:w="0" w:type="dxa"/>
            <w:left w:w="108" w:type="dxa"/>
            <w:bottom w:w="0" w:type="dxa"/>
            <w:right w:w="108" w:type="dxa"/>
          </w:tblCellMar>
        </w:tblPrEx>
        <w:trPr>
          <w:trHeight w:val="37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F1FA5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D08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27F7E">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军事课程模块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1E44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军训</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74E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AED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0C1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27EA">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r>
              <w:rPr>
                <w:rFonts w:hint="eastAsia" w:ascii="微软雅黑" w:hAnsi="微软雅黑" w:cs="微软雅黑"/>
                <w:color w:val="auto"/>
                <w:sz w:val="18"/>
                <w:szCs w:val="18"/>
              </w:rPr>
              <w:t>大一开学前</w:t>
            </w:r>
          </w:p>
        </w:tc>
      </w:tr>
      <w:tr w14:paraId="351FE96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6B6150">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1397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575CC">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F377">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103486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0CB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军事理论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FB2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F5FC">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B73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82D4">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07E6F40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4A5EA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DE9A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9CCB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630B">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106867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4E1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国家安全教育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07C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D46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4F7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保卫部</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C4AD">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48B7091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2C2F1F">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880C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1BEFE">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E88B">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0745">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B5B0">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EFB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C58B97B">
        <w:tblPrEx>
          <w:tblCellMar>
            <w:top w:w="0" w:type="dxa"/>
            <w:left w:w="108" w:type="dxa"/>
            <w:bottom w:w="0" w:type="dxa"/>
            <w:right w:w="108" w:type="dxa"/>
          </w:tblCellMar>
        </w:tblPrEx>
        <w:trPr>
          <w:trHeight w:val="382"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E5264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3B7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5998C">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通识选修课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9516">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1ED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301D">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898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4FBDCA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D0968C">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C643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E1084">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新生研讨课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4CB3">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6A6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0476">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D811">
            <w:pPr>
              <w:pageBreakBefore w:val="0"/>
              <w:kinsoku/>
              <w:wordWrap/>
              <w:overflowPunct/>
              <w:topLinePunct w:val="0"/>
              <w:autoSpaceDE/>
              <w:autoSpaceDN/>
              <w:bidi w:val="0"/>
              <w:snapToGrid/>
              <w:jc w:val="left"/>
              <w:outlineLvl w:val="9"/>
              <w:rPr>
                <w:rFonts w:ascii="等线" w:hAnsi="等线" w:eastAsia="等线" w:cs="等线"/>
                <w:color w:val="auto"/>
                <w:sz w:val="18"/>
                <w:szCs w:val="18"/>
              </w:rPr>
            </w:pPr>
          </w:p>
        </w:tc>
      </w:tr>
      <w:tr w14:paraId="11A34E7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4D5373">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875FFC">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0E1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E732">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2448">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C41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630CA404">
        <w:tblPrEx>
          <w:tblCellMar>
            <w:top w:w="0" w:type="dxa"/>
            <w:left w:w="108" w:type="dxa"/>
            <w:bottom w:w="0" w:type="dxa"/>
            <w:right w:w="108" w:type="dxa"/>
          </w:tblCellMar>
        </w:tblPrEx>
        <w:trPr>
          <w:trHeight w:val="94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06DF7C">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7C3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46 </w:t>
            </w:r>
          </w:p>
        </w:tc>
        <w:tc>
          <w:tcPr>
            <w:tcW w:w="38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2914B">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至少修读2学分的艺术修养类通识限定选修课或通识选修课程，艺术修养课程清单将于每学期选课通知中发布</w:t>
            </w:r>
          </w:p>
        </w:tc>
      </w:tr>
      <w:tr w14:paraId="0AD4081A">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D0903">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专业培养模块</w:t>
            </w: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644FB6F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学科共同课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295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100693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0C9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334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1C7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C97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right w:val="single" w:color="000000" w:sz="4" w:space="0"/>
            </w:tcBorders>
            <w:shd w:val="clear" w:color="auto" w:fill="auto"/>
            <w:vAlign w:val="center"/>
          </w:tcPr>
          <w:p w14:paraId="6140B7B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69032EC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477829">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7D95E8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9CF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105308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8F7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8D7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07D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BB7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left w:val="single" w:color="000000" w:sz="4" w:space="0"/>
              <w:right w:val="single" w:color="000000" w:sz="4" w:space="0"/>
            </w:tcBorders>
            <w:shd w:val="clear" w:color="auto" w:fill="auto"/>
            <w:vAlign w:val="center"/>
          </w:tcPr>
          <w:p w14:paraId="164ED30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1E6C059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2663B5">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DCBE14E">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634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105309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4A8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C53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438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00C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left w:val="single" w:color="000000" w:sz="4" w:space="0"/>
              <w:right w:val="single" w:color="000000" w:sz="4" w:space="0"/>
            </w:tcBorders>
            <w:shd w:val="clear" w:color="auto" w:fill="auto"/>
            <w:vAlign w:val="center"/>
          </w:tcPr>
          <w:p w14:paraId="22A7E79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3D68299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1E3543">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EEE1DE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53E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105490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94A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概率论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61B4">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FA59">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ED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left w:val="single" w:color="000000" w:sz="4" w:space="0"/>
              <w:right w:val="single" w:color="000000" w:sz="4" w:space="0"/>
            </w:tcBorders>
            <w:shd w:val="clear" w:color="auto" w:fill="auto"/>
            <w:vAlign w:val="center"/>
          </w:tcPr>
          <w:p w14:paraId="5BF4121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3B90DCC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1183F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B0168D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B11C">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FF0000"/>
                <w:kern w:val="0"/>
                <w:sz w:val="18"/>
                <w:szCs w:val="18"/>
                <w:lang w:val="en-US" w:eastAsia="zh-CN" w:bidi="ar"/>
              </w:rPr>
              <w:t>107475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511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数理统计(基地班)</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E779">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CED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B1B2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left w:val="single" w:color="000000" w:sz="4" w:space="0"/>
              <w:right w:val="single" w:color="000000" w:sz="4" w:space="0"/>
            </w:tcBorders>
            <w:shd w:val="clear" w:color="auto" w:fill="auto"/>
            <w:vAlign w:val="center"/>
          </w:tcPr>
          <w:p w14:paraId="71AE020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210F818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72791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59D179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DAD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101828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105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计算机编程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E5B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913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C3A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left w:val="single" w:color="000000" w:sz="4" w:space="0"/>
              <w:right w:val="single" w:color="000000" w:sz="4" w:space="0"/>
            </w:tcBorders>
            <w:shd w:val="clear" w:color="auto" w:fill="auto"/>
            <w:vAlign w:val="center"/>
          </w:tcPr>
          <w:p w14:paraId="0AEF8009">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290766C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E82075">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632063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34F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103298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BE2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高等代数I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BBC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AFE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2EF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数学学院</w:t>
            </w:r>
          </w:p>
        </w:tc>
        <w:tc>
          <w:tcPr>
            <w:tcW w:w="1217" w:type="dxa"/>
            <w:tcBorders>
              <w:left w:val="single" w:color="000000" w:sz="4" w:space="0"/>
              <w:right w:val="single" w:color="000000" w:sz="4" w:space="0"/>
            </w:tcBorders>
            <w:shd w:val="clear" w:color="auto" w:fill="auto"/>
            <w:vAlign w:val="center"/>
          </w:tcPr>
          <w:p w14:paraId="68F20DC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73A078C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FED82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AB8282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A9B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103299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0F94">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高等代数II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4D6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bookmarkStart w:id="4" w:name="_GoBack"/>
            <w:bookmarkEnd w:id="4"/>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0BF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D38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数学学院</w:t>
            </w:r>
          </w:p>
        </w:tc>
        <w:tc>
          <w:tcPr>
            <w:tcW w:w="1217" w:type="dxa"/>
            <w:tcBorders>
              <w:left w:val="single" w:color="000000" w:sz="4" w:space="0"/>
              <w:right w:val="single" w:color="000000" w:sz="4" w:space="0"/>
            </w:tcBorders>
            <w:shd w:val="clear" w:color="auto" w:fill="auto"/>
            <w:vAlign w:val="center"/>
          </w:tcPr>
          <w:p w14:paraId="57D3CE5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09861BC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4791C9">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4AB0BE2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B10C4">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170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32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447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1F1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left w:val="single" w:color="000000" w:sz="4" w:space="0"/>
              <w:bottom w:val="single" w:color="000000" w:sz="4" w:space="0"/>
              <w:right w:val="single" w:color="000000" w:sz="4" w:space="0"/>
            </w:tcBorders>
            <w:shd w:val="clear" w:color="auto" w:fill="auto"/>
            <w:vAlign w:val="center"/>
          </w:tcPr>
          <w:p w14:paraId="7C48A245">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35CE0DF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8E3FAD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5D1B766E">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专业基础课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2FC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102689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D82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机器学习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3BB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871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5</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725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A21D">
            <w:pPr>
              <w:pageBreakBefore w:val="0"/>
              <w:kinsoku/>
              <w:wordWrap/>
              <w:overflowPunct/>
              <w:topLinePunct w:val="0"/>
              <w:autoSpaceDE/>
              <w:autoSpaceDN/>
              <w:bidi w:val="0"/>
              <w:snapToGrid/>
              <w:outlineLvl w:val="9"/>
              <w:rPr>
                <w:rFonts w:ascii="微软雅黑" w:hAnsi="微软雅黑" w:cs="微软雅黑"/>
                <w:color w:val="auto"/>
                <w:sz w:val="18"/>
                <w:szCs w:val="18"/>
              </w:rPr>
            </w:pPr>
          </w:p>
        </w:tc>
      </w:tr>
      <w:tr w14:paraId="6C3B258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F9EDD5">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5B25D3F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0DB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105503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B3D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深度学习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66E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00D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00AB">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668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高年级研讨课（拟）、AI+专业前沿类课程</w:t>
            </w:r>
          </w:p>
        </w:tc>
      </w:tr>
      <w:tr w14:paraId="0E46C639">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1BCB5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954A8E4">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F5F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103237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D4F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时间序列分析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6944">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258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8A7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12A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4FBD2C0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2F309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968711E">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585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103294</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4C7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非参数统计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ECD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CBF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D1F3">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28B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4FEDF97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4FEFA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0AA8A7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40DC">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103322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304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多元统计分析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22E1">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CF7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6EEF">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AB1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4192A29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87B326">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BF0BB1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CFDA">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100982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BE41">
            <w:pPr>
              <w:pageBreakBefore w:val="0"/>
              <w:widowControl/>
              <w:kinsoku/>
              <w:wordWrap/>
              <w:overflowPunct/>
              <w:topLinePunct w:val="0"/>
              <w:autoSpaceDE/>
              <w:autoSpaceDN/>
              <w:bidi w:val="0"/>
              <w:snapToGrid/>
              <w:jc w:val="center"/>
              <w:textAlignment w:val="center"/>
              <w:outlineLvl w:val="9"/>
              <w:rPr>
                <w:rFonts w:hint="eastAsia" w:ascii="微软雅黑" w:hAnsi="微软雅黑" w:eastAsia="等线" w:cs="微软雅黑"/>
                <w:color w:val="auto"/>
                <w:sz w:val="18"/>
                <w:szCs w:val="18"/>
                <w:lang w:eastAsia="zh-CN"/>
              </w:rPr>
            </w:pPr>
            <w:r>
              <w:rPr>
                <w:rFonts w:hint="eastAsia" w:ascii="等线" w:hAnsi="等线" w:eastAsia="等线" w:cs="等线"/>
                <w:color w:val="auto"/>
                <w:kern w:val="0"/>
                <w:sz w:val="18"/>
                <w:szCs w:val="18"/>
                <w:lang w:bidi="ar"/>
              </w:rPr>
              <w:t xml:space="preserve"> </w:t>
            </w:r>
            <w:r>
              <w:rPr>
                <w:rFonts w:hint="eastAsia" w:ascii="等线" w:hAnsi="等线" w:eastAsia="等线" w:cs="等线"/>
                <w:color w:val="auto"/>
                <w:kern w:val="0"/>
                <w:sz w:val="18"/>
                <w:szCs w:val="18"/>
                <w:lang w:val="en-US" w:eastAsia="zh-CN" w:bidi="ar"/>
              </w:rPr>
              <w:t>实变函数</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83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05DD">
            <w:pPr>
              <w:pageBreakBefore w:val="0"/>
              <w:widowControl/>
              <w:kinsoku/>
              <w:wordWrap/>
              <w:overflowPunct/>
              <w:topLinePunct w:val="0"/>
              <w:autoSpaceDE/>
              <w:autoSpaceDN/>
              <w:bidi w:val="0"/>
              <w:snapToGrid/>
              <w:jc w:val="center"/>
              <w:textAlignment w:val="center"/>
              <w:outlineLvl w:val="9"/>
              <w:rPr>
                <w:rFonts w:hint="eastAsia" w:ascii="微软雅黑" w:hAnsi="微软雅黑" w:eastAsia="微软雅黑" w:cs="微软雅黑"/>
                <w:color w:val="auto"/>
                <w:sz w:val="18"/>
                <w:szCs w:val="18"/>
                <w:lang w:eastAsia="zh-CN"/>
              </w:rPr>
            </w:pPr>
            <w:r>
              <w:rPr>
                <w:rFonts w:hint="eastAsia" w:ascii="等线" w:hAnsi="等线" w:eastAsia="等线" w:cs="等线"/>
                <w:color w:val="auto"/>
                <w:kern w:val="0"/>
                <w:sz w:val="18"/>
                <w:szCs w:val="18"/>
                <w:lang w:val="en-US" w:eastAsia="zh-CN" w:bidi="ar"/>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DC9C">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00AD">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6ED934B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739DF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B7F293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6785">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107476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1DC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优化理论与方法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1C1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5C7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3197">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663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5A4E01B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DC79B22">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0D97349B">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DC3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100923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6BB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回归分析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2792">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C89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5</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CCF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6C4A">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AI+专业应用类课程</w:t>
            </w:r>
          </w:p>
        </w:tc>
      </w:tr>
      <w:tr w14:paraId="6CCB4A4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A4911C">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D5FD1E3">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CEE6">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105506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3ACD">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数据结构</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9DDE">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2DD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0D18">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FFB9">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3D0AEAC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ED591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58086C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409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105509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6820">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随机过程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5ED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B91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5</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B1B5">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1F42">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p>
        </w:tc>
      </w:tr>
      <w:tr w14:paraId="37A2972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DE099E">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6F23E21D">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66C1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B9D7">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28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5BF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3F3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263B">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113B29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8E68D8">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591BF5">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58A7">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60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BF8E">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8FF7">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C75A">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2218DC6E">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right w:val="single" w:color="auto" w:sz="4" w:space="0"/>
            </w:tcBorders>
            <w:shd w:val="clear" w:color="auto" w:fill="auto"/>
            <w:vAlign w:val="center"/>
          </w:tcPr>
          <w:p w14:paraId="1BB838F5">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个性化培养模块</w:t>
            </w:r>
          </w:p>
        </w:tc>
        <w:tc>
          <w:tcPr>
            <w:tcW w:w="432" w:type="dxa"/>
            <w:vMerge w:val="restart"/>
            <w:tcBorders>
              <w:top w:val="single" w:color="auto" w:sz="4" w:space="0"/>
              <w:left w:val="single" w:color="auto" w:sz="4" w:space="0"/>
              <w:right w:val="single" w:color="auto" w:sz="4" w:space="0"/>
            </w:tcBorders>
            <w:shd w:val="clear" w:color="auto" w:fill="auto"/>
            <w:vAlign w:val="center"/>
          </w:tcPr>
          <w:p w14:paraId="056DD584">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拔尖型</w:t>
            </w:r>
          </w:p>
        </w:tc>
        <w:tc>
          <w:tcPr>
            <w:tcW w:w="14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A4D981">
            <w:pPr>
              <w:pageBreakBefore w:val="0"/>
              <w:kinsoku/>
              <w:wordWrap/>
              <w:overflowPunct/>
              <w:topLinePunct w:val="0"/>
              <w:autoSpaceDE/>
              <w:autoSpaceDN/>
              <w:bidi w:val="0"/>
              <w:snapToGrid/>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专业进阶必修课程</w:t>
            </w:r>
          </w:p>
        </w:tc>
        <w:tc>
          <w:tcPr>
            <w:tcW w:w="864" w:type="dxa"/>
            <w:tcBorders>
              <w:top w:val="nil"/>
              <w:left w:val="single" w:color="auto" w:sz="4" w:space="0"/>
              <w:bottom w:val="single" w:color="000000" w:sz="4" w:space="0"/>
              <w:right w:val="single" w:color="000000" w:sz="4" w:space="0"/>
            </w:tcBorders>
            <w:shd w:val="clear" w:color="auto" w:fill="auto"/>
            <w:vAlign w:val="center"/>
          </w:tcPr>
          <w:p w14:paraId="0C391EAE">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100409</w:t>
            </w:r>
          </w:p>
        </w:tc>
        <w:tc>
          <w:tcPr>
            <w:tcW w:w="2282" w:type="dxa"/>
            <w:tcBorders>
              <w:top w:val="nil"/>
              <w:left w:val="single" w:color="000000" w:sz="4" w:space="0"/>
              <w:bottom w:val="single" w:color="000000" w:sz="4" w:space="0"/>
              <w:right w:val="single" w:color="000000" w:sz="4" w:space="0"/>
            </w:tcBorders>
            <w:shd w:val="clear" w:color="auto" w:fill="auto"/>
            <w:vAlign w:val="center"/>
          </w:tcPr>
          <w:p w14:paraId="065AB382">
            <w:pPr>
              <w:pageBreakBefore w:val="0"/>
              <w:widowControl/>
              <w:kinsoku/>
              <w:wordWrap/>
              <w:overflowPunct/>
              <w:topLinePunct w:val="0"/>
              <w:autoSpaceDE/>
              <w:autoSpaceDN/>
              <w:bidi w:val="0"/>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泛函分析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41D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B71D">
            <w:pPr>
              <w:pageBreakBefore w:val="0"/>
              <w:widowControl/>
              <w:kinsoku/>
              <w:wordWrap/>
              <w:overflowPunct/>
              <w:topLinePunct w:val="0"/>
              <w:autoSpaceDE/>
              <w:autoSpaceDN/>
              <w:bidi w:val="0"/>
              <w:snapToGrid/>
              <w:jc w:val="center"/>
              <w:textAlignment w:val="center"/>
              <w:outlineLvl w:val="9"/>
              <w:rPr>
                <w:rFonts w:hint="eastAsia" w:ascii="微软雅黑" w:hAnsi="微软雅黑" w:eastAsia="微软雅黑" w:cs="微软雅黑"/>
                <w:color w:val="auto"/>
                <w:sz w:val="18"/>
                <w:szCs w:val="18"/>
                <w:lang w:eastAsia="zh-CN"/>
              </w:rPr>
            </w:pPr>
            <w:r>
              <w:rPr>
                <w:rFonts w:hint="eastAsia" w:ascii="等线" w:hAnsi="等线" w:eastAsia="等线" w:cs="等线"/>
                <w:color w:val="auto"/>
                <w:kern w:val="0"/>
                <w:sz w:val="18"/>
                <w:szCs w:val="18"/>
                <w:lang w:val="en-US" w:eastAsia="zh-CN" w:bidi="ar"/>
              </w:rPr>
              <w:t>5</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9D7E">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vMerge w:val="restart"/>
            <w:tcBorders>
              <w:top w:val="single" w:color="000000" w:sz="4" w:space="0"/>
              <w:left w:val="single" w:color="000000" w:sz="4" w:space="0"/>
              <w:right w:val="single" w:color="000000" w:sz="4" w:space="0"/>
            </w:tcBorders>
            <w:shd w:val="clear" w:color="auto" w:fill="auto"/>
            <w:vAlign w:val="center"/>
          </w:tcPr>
          <w:p w14:paraId="1502A8F8">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4801B93F">
        <w:tblPrEx>
          <w:tblCellMar>
            <w:top w:w="0" w:type="dxa"/>
            <w:left w:w="108" w:type="dxa"/>
            <w:bottom w:w="0" w:type="dxa"/>
            <w:right w:w="108" w:type="dxa"/>
          </w:tblCellMar>
        </w:tblPrEx>
        <w:trPr>
          <w:trHeight w:val="379"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2ECD337D">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right w:val="single" w:color="auto" w:sz="4" w:space="0"/>
            </w:tcBorders>
            <w:shd w:val="clear" w:color="auto" w:fill="auto"/>
            <w:textDirection w:val="tbRlV"/>
            <w:vAlign w:val="center"/>
          </w:tcPr>
          <w:p w14:paraId="113D1FD9">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70FB8EB6">
            <w:pPr>
              <w:pageBreakBefore w:val="0"/>
              <w:kinsoku/>
              <w:wordWrap/>
              <w:overflowPunct/>
              <w:topLinePunct w:val="0"/>
              <w:autoSpaceDE/>
              <w:autoSpaceDN/>
              <w:bidi w:val="0"/>
              <w:snapToGrid/>
              <w:outlineLvl w:val="9"/>
              <w:rPr>
                <w:rFonts w:ascii="微软雅黑" w:hAnsi="微软雅黑" w:cs="微软雅黑"/>
                <w:b/>
                <w:bCs/>
                <w:color w:val="auto"/>
                <w:sz w:val="18"/>
                <w:szCs w:val="18"/>
              </w:rPr>
            </w:pPr>
          </w:p>
        </w:tc>
        <w:tc>
          <w:tcPr>
            <w:tcW w:w="864" w:type="dxa"/>
            <w:tcBorders>
              <w:top w:val="single" w:color="000000" w:sz="4" w:space="0"/>
              <w:left w:val="single" w:color="auto" w:sz="4" w:space="0"/>
              <w:bottom w:val="single" w:color="000000" w:sz="4" w:space="0"/>
              <w:right w:val="single" w:color="000000" w:sz="4" w:space="0"/>
            </w:tcBorders>
            <w:shd w:val="clear" w:color="auto" w:fill="auto"/>
            <w:vAlign w:val="center"/>
          </w:tcPr>
          <w:p w14:paraId="7D9ED5DF">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102109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D2A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广义线性模型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609B">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F18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7</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8C01">
            <w:pPr>
              <w:pageBreakBefore w:val="0"/>
              <w:widowControl/>
              <w:kinsoku/>
              <w:wordWrap/>
              <w:overflowPunct/>
              <w:topLinePunct w:val="0"/>
              <w:autoSpaceDE/>
              <w:autoSpaceDN/>
              <w:bidi w:val="0"/>
              <w:snapToGrid/>
              <w:jc w:val="center"/>
              <w:textAlignment w:val="center"/>
              <w:outlineLvl w:val="9"/>
              <w:rPr>
                <w:rFonts w:ascii="等线" w:hAnsi="等线" w:eastAsia="等线" w:cs="等线"/>
                <w:color w:val="auto"/>
                <w:kern w:val="0"/>
                <w:sz w:val="18"/>
                <w:szCs w:val="18"/>
                <w:lang w:bidi="ar"/>
              </w:rPr>
            </w:pPr>
            <w:r>
              <w:rPr>
                <w:rFonts w:hint="eastAsia" w:ascii="等线" w:hAnsi="等线" w:eastAsia="等线" w:cs="等线"/>
                <w:color w:val="auto"/>
                <w:kern w:val="0"/>
                <w:sz w:val="18"/>
                <w:szCs w:val="18"/>
                <w:lang w:bidi="ar"/>
              </w:rPr>
              <w:t>统计与数据科学学院</w:t>
            </w:r>
          </w:p>
        </w:tc>
        <w:tc>
          <w:tcPr>
            <w:tcW w:w="1217" w:type="dxa"/>
            <w:vMerge w:val="continue"/>
            <w:tcBorders>
              <w:left w:val="single" w:color="000000" w:sz="4" w:space="0"/>
              <w:right w:val="single" w:color="000000" w:sz="4" w:space="0"/>
            </w:tcBorders>
            <w:shd w:val="clear" w:color="auto" w:fill="auto"/>
            <w:vAlign w:val="center"/>
          </w:tcPr>
          <w:p w14:paraId="1C88D28A">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12118844">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052C79CF">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right w:val="single" w:color="auto" w:sz="4" w:space="0"/>
            </w:tcBorders>
            <w:shd w:val="clear" w:color="auto" w:fill="auto"/>
            <w:textDirection w:val="tbRlV"/>
            <w:vAlign w:val="center"/>
          </w:tcPr>
          <w:p w14:paraId="1649BE7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vMerge w:val="continue"/>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261C7A8D">
            <w:pPr>
              <w:pageBreakBefore w:val="0"/>
              <w:kinsoku/>
              <w:wordWrap/>
              <w:overflowPunct/>
              <w:topLinePunct w:val="0"/>
              <w:autoSpaceDE/>
              <w:autoSpaceDN/>
              <w:bidi w:val="0"/>
              <w:snapToGrid/>
              <w:outlineLvl w:val="9"/>
              <w:rPr>
                <w:rFonts w:ascii="微软雅黑" w:hAnsi="微软雅黑" w:cs="微软雅黑"/>
                <w:b/>
                <w:bCs/>
                <w:color w:val="auto"/>
                <w:sz w:val="18"/>
                <w:szCs w:val="18"/>
              </w:rPr>
            </w:pPr>
          </w:p>
        </w:tc>
        <w:tc>
          <w:tcPr>
            <w:tcW w:w="3146" w:type="dxa"/>
            <w:gridSpan w:val="2"/>
            <w:tcBorders>
              <w:top w:val="single" w:color="000000" w:sz="4" w:space="0"/>
              <w:left w:val="single" w:color="auto" w:sz="4" w:space="0"/>
              <w:bottom w:val="single" w:color="auto" w:sz="4" w:space="0"/>
              <w:right w:val="single" w:color="000000" w:sz="4" w:space="0"/>
            </w:tcBorders>
            <w:shd w:val="clear" w:color="auto" w:fill="auto"/>
            <w:vAlign w:val="center"/>
          </w:tcPr>
          <w:p w14:paraId="2D964A37">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F565">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2698">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554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p>
        </w:tc>
        <w:tc>
          <w:tcPr>
            <w:tcW w:w="1217" w:type="dxa"/>
            <w:vMerge w:val="continue"/>
            <w:tcBorders>
              <w:left w:val="single" w:color="000000" w:sz="4" w:space="0"/>
              <w:bottom w:val="single" w:color="000000" w:sz="4" w:space="0"/>
              <w:right w:val="single" w:color="000000" w:sz="4" w:space="0"/>
            </w:tcBorders>
            <w:shd w:val="clear" w:color="auto" w:fill="auto"/>
            <w:vAlign w:val="center"/>
          </w:tcPr>
          <w:p w14:paraId="7F2D909B">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2E29C3E4">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45A5593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right w:val="single" w:color="auto" w:sz="4" w:space="0"/>
            </w:tcBorders>
            <w:shd w:val="clear" w:color="auto" w:fill="auto"/>
            <w:textDirection w:val="tbRlV"/>
            <w:vAlign w:val="center"/>
          </w:tcPr>
          <w:p w14:paraId="735C7BE1">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3E094BF8">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专业方向模块</w:t>
            </w:r>
          </w:p>
        </w:tc>
        <w:tc>
          <w:tcPr>
            <w:tcW w:w="31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B42BDC">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见拔尖型专业方向模块课程清单</w:t>
            </w:r>
          </w:p>
        </w:tc>
        <w:tc>
          <w:tcPr>
            <w:tcW w:w="672" w:type="dxa"/>
            <w:tcBorders>
              <w:top w:val="single" w:color="000000" w:sz="4" w:space="0"/>
              <w:left w:val="single" w:color="auto" w:sz="4" w:space="0"/>
              <w:bottom w:val="single" w:color="000000" w:sz="4" w:space="0"/>
              <w:right w:val="single" w:color="000000" w:sz="4" w:space="0"/>
            </w:tcBorders>
            <w:shd w:val="clear" w:color="auto" w:fill="auto"/>
            <w:vAlign w:val="center"/>
          </w:tcPr>
          <w:p w14:paraId="6C034453">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3802" w:type="dxa"/>
            <w:gridSpan w:val="3"/>
            <w:vMerge w:val="restart"/>
            <w:tcBorders>
              <w:top w:val="single" w:color="000000" w:sz="4" w:space="0"/>
              <w:left w:val="single" w:color="000000" w:sz="4" w:space="0"/>
              <w:right w:val="single" w:color="000000" w:sz="4" w:space="0"/>
            </w:tcBorders>
            <w:shd w:val="clear" w:color="auto" w:fill="auto"/>
            <w:vAlign w:val="center"/>
          </w:tcPr>
          <w:p w14:paraId="54612733">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至少修读1学分国际课程，境外交流、访学等可替代该学分</w:t>
            </w:r>
          </w:p>
        </w:tc>
      </w:tr>
      <w:tr w14:paraId="074C32E6">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134CDF0B">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right w:val="single" w:color="auto" w:sz="4" w:space="0"/>
            </w:tcBorders>
            <w:shd w:val="clear" w:color="auto" w:fill="auto"/>
            <w:textDirection w:val="tbRlV"/>
            <w:vAlign w:val="center"/>
          </w:tcPr>
          <w:p w14:paraId="07155AFA">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594FE237">
            <w:pPr>
              <w:pageBreakBefore w:val="0"/>
              <w:widowControl/>
              <w:kinsoku/>
              <w:wordWrap/>
              <w:overflowPunct/>
              <w:topLinePunct w:val="0"/>
              <w:autoSpaceDE/>
              <w:autoSpaceDN/>
              <w:bidi w:val="0"/>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跨学科选修</w:t>
            </w:r>
          </w:p>
        </w:tc>
        <w:tc>
          <w:tcPr>
            <w:tcW w:w="31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A63710">
            <w:pPr>
              <w:pageBreakBefore w:val="0"/>
              <w:widowControl/>
              <w:kinsoku/>
              <w:wordWrap/>
              <w:overflowPunct/>
              <w:topLinePunct w:val="0"/>
              <w:autoSpaceDE/>
              <w:autoSpaceDN/>
              <w:bidi w:val="0"/>
              <w:snapToGrid/>
              <w:jc w:val="left"/>
              <w:textAlignment w:val="center"/>
              <w:outlineLvl w:val="9"/>
              <w:rPr>
                <w:rFonts w:hint="eastAsia" w:ascii="微软雅黑" w:hAnsi="微软雅黑" w:eastAsia="微软雅黑" w:cs="微软雅黑"/>
                <w:color w:val="auto"/>
                <w:sz w:val="18"/>
                <w:szCs w:val="18"/>
                <w:lang w:eastAsia="zh-CN"/>
              </w:rPr>
            </w:pPr>
            <w:r>
              <w:rPr>
                <w:rFonts w:hint="eastAsia" w:ascii="微软雅黑" w:hAnsi="微软雅黑" w:cs="微软雅黑"/>
                <w:color w:val="auto"/>
                <w:sz w:val="18"/>
                <w:szCs w:val="18"/>
              </w:rPr>
              <w:t>见跨学科选修</w:t>
            </w:r>
            <w:r>
              <w:rPr>
                <w:rFonts w:hint="eastAsia" w:ascii="微软雅黑" w:hAnsi="微软雅黑" w:cs="微软雅黑"/>
                <w:color w:val="auto"/>
                <w:sz w:val="18"/>
                <w:szCs w:val="18"/>
                <w:lang w:val="en-US" w:eastAsia="zh-CN"/>
              </w:rPr>
              <w:t>修读建议</w:t>
            </w:r>
          </w:p>
        </w:tc>
        <w:tc>
          <w:tcPr>
            <w:tcW w:w="672" w:type="dxa"/>
            <w:tcBorders>
              <w:top w:val="single" w:color="000000" w:sz="4" w:space="0"/>
              <w:left w:val="single" w:color="auto" w:sz="4" w:space="0"/>
              <w:bottom w:val="single" w:color="000000" w:sz="4" w:space="0"/>
              <w:right w:val="single" w:color="000000" w:sz="4" w:space="0"/>
            </w:tcBorders>
            <w:shd w:val="clear" w:color="auto" w:fill="auto"/>
            <w:vAlign w:val="center"/>
          </w:tcPr>
          <w:p w14:paraId="4B9B4DE8">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3802" w:type="dxa"/>
            <w:gridSpan w:val="3"/>
            <w:vMerge w:val="continue"/>
            <w:tcBorders>
              <w:left w:val="single" w:color="000000" w:sz="4" w:space="0"/>
              <w:right w:val="single" w:color="000000" w:sz="4" w:space="0"/>
            </w:tcBorders>
            <w:shd w:val="clear" w:color="auto" w:fill="auto"/>
            <w:vAlign w:val="center"/>
          </w:tcPr>
          <w:p w14:paraId="2008A91B">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74D26665">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11495CFA">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right w:val="single" w:color="auto" w:sz="4" w:space="0"/>
            </w:tcBorders>
            <w:shd w:val="clear" w:color="auto" w:fill="auto"/>
            <w:textDirection w:val="tbRlV"/>
            <w:vAlign w:val="center"/>
          </w:tcPr>
          <w:p w14:paraId="468097DF">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4E4F1091">
            <w:pPr>
              <w:pageBreakBefore w:val="0"/>
              <w:kinsoku/>
              <w:wordWrap/>
              <w:overflowPunct/>
              <w:topLinePunct w:val="0"/>
              <w:autoSpaceDE/>
              <w:autoSpaceDN/>
              <w:bidi w:val="0"/>
              <w:snapToGrid/>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科创训练</w:t>
            </w:r>
          </w:p>
        </w:tc>
        <w:tc>
          <w:tcPr>
            <w:tcW w:w="3146" w:type="dxa"/>
            <w:gridSpan w:val="2"/>
            <w:tcBorders>
              <w:top w:val="single" w:color="auto" w:sz="4" w:space="0"/>
              <w:left w:val="single" w:color="auto" w:sz="4" w:space="0"/>
              <w:bottom w:val="single" w:color="000000" w:sz="4" w:space="0"/>
              <w:right w:val="single" w:color="000000" w:sz="4" w:space="0"/>
            </w:tcBorders>
            <w:shd w:val="clear" w:color="auto" w:fill="auto"/>
            <w:vAlign w:val="center"/>
          </w:tcPr>
          <w:p w14:paraId="4A3B5A40">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参照各学院制定的科创训练认定要求</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1F57">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3802" w:type="dxa"/>
            <w:gridSpan w:val="3"/>
            <w:vMerge w:val="continue"/>
            <w:tcBorders>
              <w:left w:val="single" w:color="000000" w:sz="4" w:space="0"/>
              <w:bottom w:val="single" w:color="000000" w:sz="4" w:space="0"/>
              <w:right w:val="single" w:color="000000" w:sz="4" w:space="0"/>
            </w:tcBorders>
            <w:shd w:val="clear" w:color="auto" w:fill="auto"/>
            <w:vAlign w:val="center"/>
          </w:tcPr>
          <w:p w14:paraId="0679417F">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p>
        </w:tc>
      </w:tr>
      <w:tr w14:paraId="3F4E2F23">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46AF38E9">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32" w:type="dxa"/>
            <w:vMerge w:val="continue"/>
            <w:tcBorders>
              <w:left w:val="single" w:color="auto" w:sz="4" w:space="0"/>
              <w:bottom w:val="single" w:color="auto" w:sz="4" w:space="0"/>
              <w:right w:val="single" w:color="auto" w:sz="4" w:space="0"/>
            </w:tcBorders>
            <w:shd w:val="clear" w:color="auto" w:fill="auto"/>
            <w:textDirection w:val="tbRlV"/>
            <w:vAlign w:val="center"/>
          </w:tcPr>
          <w:p w14:paraId="4B272506">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4550"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37C443FA">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sz w:val="18"/>
                <w:szCs w:val="18"/>
              </w:rPr>
            </w:pPr>
            <w:r>
              <w:rPr>
                <w:rFonts w:hint="eastAsia" w:ascii="微软雅黑" w:hAnsi="微软雅黑" w:cs="微软雅黑"/>
                <w:b/>
                <w:bCs/>
                <w:color w:val="auto"/>
                <w:sz w:val="18"/>
                <w:szCs w:val="18"/>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9DC4">
            <w:pPr>
              <w:pageBreakBefore w:val="0"/>
              <w:widowControl/>
              <w:kinsoku/>
              <w:wordWrap/>
              <w:overflowPunct/>
              <w:topLinePunct w:val="0"/>
              <w:autoSpaceDE/>
              <w:autoSpaceDN/>
              <w:bidi w:val="0"/>
              <w:snapToGrid/>
              <w:jc w:val="center"/>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6124">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3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85C00">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p>
        </w:tc>
      </w:tr>
      <w:tr w14:paraId="35DB9558">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bottom w:val="nil"/>
              <w:right w:val="single" w:color="auto" w:sz="4" w:space="0"/>
            </w:tcBorders>
            <w:shd w:val="clear" w:color="auto" w:fill="auto"/>
            <w:textDirection w:val="tbRlV"/>
            <w:vAlign w:val="center"/>
          </w:tcPr>
          <w:p w14:paraId="357321F7">
            <w:pPr>
              <w:pageBreakBefore w:val="0"/>
              <w:kinsoku/>
              <w:wordWrap/>
              <w:overflowPunct/>
              <w:topLinePunct w:val="0"/>
              <w:autoSpaceDE/>
              <w:autoSpaceDN/>
              <w:bidi w:val="0"/>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EAC8D0">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A35C">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EB6B">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5065">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1B70">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1A609843">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FD1BE6">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129B">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AC28">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714A">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2045">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08D8D239">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BE07BA">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毕业实习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313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F2FD">
            <w:pPr>
              <w:pageBreakBefore w:val="0"/>
              <w:kinsoku/>
              <w:wordWrap/>
              <w:overflowPunct/>
              <w:topLinePunct w:val="0"/>
              <w:autoSpaceDE/>
              <w:autoSpaceDN/>
              <w:bidi w:val="0"/>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AF65">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AD94">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0C008EDC">
        <w:tblPrEx>
          <w:tblCellMar>
            <w:top w:w="0" w:type="dxa"/>
            <w:left w:w="108" w:type="dxa"/>
            <w:bottom w:w="0" w:type="dxa"/>
            <w:right w:w="108" w:type="dxa"/>
          </w:tblCellMar>
        </w:tblPrEx>
        <w:trPr>
          <w:trHeight w:val="63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584D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实践教育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EA91">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10</w:t>
            </w:r>
          </w:p>
        </w:tc>
        <w:tc>
          <w:tcPr>
            <w:tcW w:w="38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78FB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详见《上海财经大学本科生第二课堂（实践教育）学分认定及实施办法》</w:t>
            </w:r>
          </w:p>
        </w:tc>
      </w:tr>
      <w:tr w14:paraId="2CB6A1DD">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556AE">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全程总计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1300">
            <w:pPr>
              <w:pageBreakBefore w:val="0"/>
              <w:widowControl/>
              <w:kinsoku/>
              <w:wordWrap/>
              <w:overflowPunct/>
              <w:topLinePunct w:val="0"/>
              <w:autoSpaceDE/>
              <w:autoSpaceDN/>
              <w:bidi w:val="0"/>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147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ACE8">
            <w:pPr>
              <w:pageBreakBefore w:val="0"/>
              <w:kinsoku/>
              <w:wordWrap/>
              <w:overflowPunct/>
              <w:topLinePunct w:val="0"/>
              <w:autoSpaceDE/>
              <w:autoSpaceDN/>
              <w:bidi w:val="0"/>
              <w:snapToGrid/>
              <w:jc w:val="center"/>
              <w:outlineLvl w:val="9"/>
              <w:rPr>
                <w:rFonts w:ascii="微软雅黑" w:hAnsi="微软雅黑" w:cs="微软雅黑"/>
                <w:b/>
                <w:bCs/>
                <w:color w:val="auto"/>
                <w:sz w:val="18"/>
                <w:szCs w:val="18"/>
              </w:rPr>
            </w:pP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2C2F">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A9C4">
            <w:pPr>
              <w:pageBreakBefore w:val="0"/>
              <w:kinsoku/>
              <w:wordWrap/>
              <w:overflowPunct/>
              <w:topLinePunct w:val="0"/>
              <w:autoSpaceDE/>
              <w:autoSpaceDN/>
              <w:bidi w:val="0"/>
              <w:snapToGrid/>
              <w:jc w:val="left"/>
              <w:outlineLvl w:val="9"/>
              <w:rPr>
                <w:rFonts w:ascii="微软雅黑" w:hAnsi="微软雅黑" w:cs="微软雅黑"/>
                <w:color w:val="auto"/>
                <w:sz w:val="18"/>
                <w:szCs w:val="18"/>
              </w:rPr>
            </w:pPr>
          </w:p>
        </w:tc>
      </w:tr>
      <w:tr w14:paraId="3BECAA7F">
        <w:tblPrEx>
          <w:tblCellMar>
            <w:top w:w="0" w:type="dxa"/>
            <w:left w:w="108" w:type="dxa"/>
            <w:bottom w:w="0" w:type="dxa"/>
            <w:right w:w="108" w:type="dxa"/>
          </w:tblCellMar>
        </w:tblPrEx>
        <w:trPr>
          <w:trHeight w:val="1881" w:hRule="atLeast"/>
          <w:jc w:val="center"/>
        </w:trPr>
        <w:tc>
          <w:tcPr>
            <w:tcW w:w="30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6C7712">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备注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20DAEF">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1）至少修读2学分的艺术修养类通识限定选修课或通识选修课程，艺术修养课程清单将于每学期选课通知中发布；</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2）需完成不少于32学时（2学分）的劳动实践教育内容；</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3）至少修读1学分国际课程，境外交流、访学等可替代该学分。修读的暑期国际课程超过1学分的，具体替换规则以学院当年通知细则为准；</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4）2025级新生必修1学分新生研讨课，多修的学分可认作通识选修；</w:t>
            </w:r>
          </w:p>
          <w:p w14:paraId="507BE428">
            <w:pPr>
              <w:pageBreakBefore w:val="0"/>
              <w:widowControl/>
              <w:kinsoku/>
              <w:wordWrap/>
              <w:overflowPunct/>
              <w:topLinePunct w:val="0"/>
              <w:autoSpaceDE/>
              <w:autoSpaceDN/>
              <w:bidi w:val="0"/>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5）具体执行以教学系统最新信息为准。</w:t>
            </w:r>
          </w:p>
        </w:tc>
      </w:tr>
    </w:tbl>
    <w:p w14:paraId="698727F2">
      <w:pPr>
        <w:pageBreakBefore w:val="0"/>
        <w:kinsoku/>
        <w:wordWrap/>
        <w:overflowPunct/>
        <w:topLinePunct w:val="0"/>
        <w:autoSpaceDE/>
        <w:autoSpaceDN/>
        <w:bidi w:val="0"/>
        <w:snapToGrid/>
        <w:outlineLvl w:val="9"/>
      </w:pPr>
    </w:p>
    <w:p w14:paraId="32D71250">
      <w:pPr>
        <w:pageBreakBefore w:val="0"/>
        <w:kinsoku/>
        <w:wordWrap/>
        <w:overflowPunct/>
        <w:topLinePunct w:val="0"/>
        <w:bidi w:val="0"/>
        <w:outlineLvl w:val="9"/>
        <w:rPr>
          <w:rFonts w:hint="default"/>
          <w:lang w:eastAsia="zh-CN"/>
        </w:rPr>
      </w:pPr>
    </w:p>
    <w:p w14:paraId="10AE63EC">
      <w:pPr>
        <w:pageBreakBefore w:val="0"/>
        <w:kinsoku/>
        <w:wordWrap/>
        <w:overflowPunct/>
        <w:topLinePunct w:val="0"/>
        <w:bidi w:val="0"/>
        <w:outlineLvl w:val="9"/>
        <w:rPr>
          <w:rFonts w:hint="default"/>
          <w:lang w:eastAsia="zh-CN"/>
        </w:rPr>
      </w:pPr>
    </w:p>
    <w:p w14:paraId="442B8130">
      <w:pPr>
        <w:pageBreakBefore w:val="0"/>
        <w:kinsoku/>
        <w:wordWrap/>
        <w:overflowPunct/>
        <w:topLinePunct w:val="0"/>
        <w:bidi w:val="0"/>
        <w:outlineLvl w:val="9"/>
        <w:rPr>
          <w:rFonts w:hint="default"/>
          <w:lang w:eastAsia="zh-CN"/>
        </w:rPr>
      </w:pPr>
    </w:p>
    <w:p w14:paraId="4923D98B">
      <w:pPr>
        <w:pageBreakBefore w:val="0"/>
        <w:kinsoku/>
        <w:wordWrap/>
        <w:overflowPunct/>
        <w:topLinePunct w:val="0"/>
        <w:bidi w:val="0"/>
        <w:outlineLvl w:val="9"/>
        <w:rPr>
          <w:rFonts w:hint="default"/>
          <w:lang w:eastAsia="zh-CN"/>
        </w:rPr>
      </w:pPr>
    </w:p>
    <w:p w14:paraId="5929CA4C">
      <w:pPr>
        <w:pageBreakBefore w:val="0"/>
        <w:kinsoku/>
        <w:wordWrap/>
        <w:overflowPunct/>
        <w:topLinePunct w:val="0"/>
        <w:bidi w:val="0"/>
        <w:outlineLvl w:val="9"/>
        <w:rPr>
          <w:rFonts w:hint="default"/>
          <w:lang w:eastAsia="zh-CN"/>
        </w:rPr>
      </w:pPr>
    </w:p>
    <w:p w14:paraId="0DCC8707">
      <w:pPr>
        <w:pageBreakBefore w:val="0"/>
        <w:kinsoku/>
        <w:wordWrap/>
        <w:overflowPunct/>
        <w:topLinePunct w:val="0"/>
        <w:bidi w:val="0"/>
        <w:outlineLvl w:val="9"/>
        <w:rPr>
          <w:rFonts w:hint="default"/>
          <w:lang w:eastAsia="zh-CN"/>
        </w:rPr>
      </w:pPr>
    </w:p>
    <w:p w14:paraId="31E24AD6">
      <w:pPr>
        <w:rPr>
          <w:rFonts w:hint="default"/>
          <w:lang w:eastAsia="zh-CN"/>
        </w:rPr>
      </w:pP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8F0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A186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8A186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A3D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C8B2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90C8B2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5C0DA"/>
    <w:multiLevelType w:val="multilevel"/>
    <w:tmpl w:val="D715C0DA"/>
    <w:lvl w:ilvl="0" w:tentative="0">
      <w:start w:val="1"/>
      <w:numFmt w:val="japaneseCounting"/>
      <w:suff w:val="space"/>
      <w:lvlText w:val="%1、"/>
      <w:lvlJc w:val="left"/>
      <w:pPr>
        <w:ind w:left="375" w:hanging="375"/>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46D7D8A6"/>
    <w:multiLevelType w:val="singleLevel"/>
    <w:tmpl w:val="46D7D8A6"/>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ZWU4ZmI5NDE1MTAwMGI5YjgxNDFlZTIwNTVhZjYifQ=="/>
  </w:docVars>
  <w:rsids>
    <w:rsidRoot w:val="1AA24D9F"/>
    <w:rsid w:val="005B020B"/>
    <w:rsid w:val="016A0312"/>
    <w:rsid w:val="01DE1773"/>
    <w:rsid w:val="01F53827"/>
    <w:rsid w:val="047D34C5"/>
    <w:rsid w:val="04F07245"/>
    <w:rsid w:val="05D318A2"/>
    <w:rsid w:val="07011CC2"/>
    <w:rsid w:val="07644792"/>
    <w:rsid w:val="07CB0D48"/>
    <w:rsid w:val="08393E4B"/>
    <w:rsid w:val="09284798"/>
    <w:rsid w:val="0B3B1FA1"/>
    <w:rsid w:val="0BFA45AB"/>
    <w:rsid w:val="0CAA1606"/>
    <w:rsid w:val="0ED879FC"/>
    <w:rsid w:val="0F2B6FD9"/>
    <w:rsid w:val="0F8274D1"/>
    <w:rsid w:val="11590BE0"/>
    <w:rsid w:val="11E608FC"/>
    <w:rsid w:val="14E310AE"/>
    <w:rsid w:val="15CC0255"/>
    <w:rsid w:val="16F20EE6"/>
    <w:rsid w:val="177A742D"/>
    <w:rsid w:val="179B6594"/>
    <w:rsid w:val="183741AA"/>
    <w:rsid w:val="183C240D"/>
    <w:rsid w:val="18CA3609"/>
    <w:rsid w:val="19536487"/>
    <w:rsid w:val="19AE222D"/>
    <w:rsid w:val="1AA24D9F"/>
    <w:rsid w:val="1AA51B47"/>
    <w:rsid w:val="1E69265C"/>
    <w:rsid w:val="20A866AF"/>
    <w:rsid w:val="20F77987"/>
    <w:rsid w:val="21045F1A"/>
    <w:rsid w:val="25A213E4"/>
    <w:rsid w:val="26D235C1"/>
    <w:rsid w:val="286835D5"/>
    <w:rsid w:val="28CC21F1"/>
    <w:rsid w:val="28DA2E89"/>
    <w:rsid w:val="29EE4F5D"/>
    <w:rsid w:val="2A4254F9"/>
    <w:rsid w:val="2C523658"/>
    <w:rsid w:val="2D1F32F4"/>
    <w:rsid w:val="2F68739C"/>
    <w:rsid w:val="323B4D81"/>
    <w:rsid w:val="324E00CB"/>
    <w:rsid w:val="348957C0"/>
    <w:rsid w:val="34B70380"/>
    <w:rsid w:val="37781747"/>
    <w:rsid w:val="3AE174A3"/>
    <w:rsid w:val="3B477122"/>
    <w:rsid w:val="3B626D5C"/>
    <w:rsid w:val="3C756DD6"/>
    <w:rsid w:val="3CAF061D"/>
    <w:rsid w:val="3D6F3FD5"/>
    <w:rsid w:val="3FA82888"/>
    <w:rsid w:val="3FC45529"/>
    <w:rsid w:val="40C64D89"/>
    <w:rsid w:val="411A6C50"/>
    <w:rsid w:val="43122A4F"/>
    <w:rsid w:val="43446334"/>
    <w:rsid w:val="435E52BB"/>
    <w:rsid w:val="43F15787"/>
    <w:rsid w:val="43F22B3C"/>
    <w:rsid w:val="44A84E71"/>
    <w:rsid w:val="46D27447"/>
    <w:rsid w:val="477DCE1E"/>
    <w:rsid w:val="4A2A2A05"/>
    <w:rsid w:val="4A81613F"/>
    <w:rsid w:val="4B4A00FE"/>
    <w:rsid w:val="4E544E1C"/>
    <w:rsid w:val="50167615"/>
    <w:rsid w:val="50936917"/>
    <w:rsid w:val="50CC3A9C"/>
    <w:rsid w:val="51AB6549"/>
    <w:rsid w:val="52E42775"/>
    <w:rsid w:val="5376076A"/>
    <w:rsid w:val="538F1479"/>
    <w:rsid w:val="547A0454"/>
    <w:rsid w:val="558A46C7"/>
    <w:rsid w:val="55C43F25"/>
    <w:rsid w:val="573E1E21"/>
    <w:rsid w:val="58AB1524"/>
    <w:rsid w:val="58B85E97"/>
    <w:rsid w:val="58E94269"/>
    <w:rsid w:val="5967410F"/>
    <w:rsid w:val="59BD5491"/>
    <w:rsid w:val="59DE55FD"/>
    <w:rsid w:val="5A177DF2"/>
    <w:rsid w:val="5B487E91"/>
    <w:rsid w:val="5C02145B"/>
    <w:rsid w:val="5CF9550F"/>
    <w:rsid w:val="5DA12EF6"/>
    <w:rsid w:val="5DC4246B"/>
    <w:rsid w:val="5DF866B7"/>
    <w:rsid w:val="5EFEBDE8"/>
    <w:rsid w:val="60531C25"/>
    <w:rsid w:val="62643A48"/>
    <w:rsid w:val="633839B4"/>
    <w:rsid w:val="66D36594"/>
    <w:rsid w:val="675F517C"/>
    <w:rsid w:val="67C91D61"/>
    <w:rsid w:val="682E59E1"/>
    <w:rsid w:val="68CA2609"/>
    <w:rsid w:val="68CC1AED"/>
    <w:rsid w:val="69BB0F42"/>
    <w:rsid w:val="6A3D32E1"/>
    <w:rsid w:val="6A637494"/>
    <w:rsid w:val="6AA12AE2"/>
    <w:rsid w:val="6B8552BA"/>
    <w:rsid w:val="6BCF62E6"/>
    <w:rsid w:val="6CD3A16D"/>
    <w:rsid w:val="6D535020"/>
    <w:rsid w:val="6E5F49A6"/>
    <w:rsid w:val="6ED21161"/>
    <w:rsid w:val="6F5A2F04"/>
    <w:rsid w:val="6FFF37D2"/>
    <w:rsid w:val="70DE2EF1"/>
    <w:rsid w:val="71786CE9"/>
    <w:rsid w:val="72330169"/>
    <w:rsid w:val="740155BF"/>
    <w:rsid w:val="76182B9F"/>
    <w:rsid w:val="763B5B08"/>
    <w:rsid w:val="77477D12"/>
    <w:rsid w:val="79541570"/>
    <w:rsid w:val="798C6B7D"/>
    <w:rsid w:val="79EE416C"/>
    <w:rsid w:val="7A17211E"/>
    <w:rsid w:val="7A8A30FA"/>
    <w:rsid w:val="7C5F4108"/>
    <w:rsid w:val="7CFD1C95"/>
    <w:rsid w:val="7D807FDA"/>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link w:val="30"/>
    <w:qFormat/>
    <w:uiPriority w:val="0"/>
    <w:pPr>
      <w:keepNext/>
      <w:keepLines/>
      <w:spacing w:before="260" w:beforeLines="0" w:beforeAutospacing="0" w:after="220" w:afterLines="0" w:afterAutospacing="0" w:line="360" w:lineRule="auto"/>
      <w:jc w:val="center"/>
      <w:outlineLvl w:val="0"/>
    </w:pPr>
    <w:rPr>
      <w:rFonts w:ascii="Arial" w:hAnsi="Arial"/>
      <w:kern w:val="44"/>
      <w:sz w:val="36"/>
    </w:rPr>
  </w:style>
  <w:style w:type="paragraph" w:styleId="3">
    <w:name w:val="heading 2"/>
    <w:basedOn w:val="1"/>
    <w:next w:val="1"/>
    <w:unhideWhenUsed/>
    <w:qFormat/>
    <w:uiPriority w:val="0"/>
    <w:pPr>
      <w:keepNext/>
      <w:keepLines/>
      <w:spacing w:beforeLines="0" w:beforeAutospacing="0" w:afterLines="0" w:afterAutospacing="0" w:line="360" w:lineRule="auto"/>
      <w:jc w:val="center"/>
      <w:outlineLvl w:val="1"/>
    </w:pPr>
    <w:rPr>
      <w:rFonts w:ascii="Arial" w:hAnsi="Arial"/>
      <w:b/>
      <w:sz w:val="30"/>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9">
    <w:name w:val="Default Paragraph Font"/>
    <w:qFormat/>
    <w:uiPriority w:val="0"/>
    <w:rPr>
      <w:rFonts w:eastAsia="微软雅黑" w:asciiTheme="minorAscii" w:hAnsiTheme="minorAscii"/>
    </w:rPr>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semiHidden/>
    <w:qFormat/>
    <w:uiPriority w:val="0"/>
    <w:rPr>
      <w:rFonts w:ascii="Arial" w:hAnsi="Arial" w:eastAsia="Arial" w:cs="Arial"/>
      <w:sz w:val="20"/>
      <w:szCs w:val="20"/>
      <w:lang w:val="en-US" w:eastAsia="en-US" w:bidi="ar-SA"/>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pPr>
      <w:spacing w:line="360" w:lineRule="auto"/>
      <w:jc w:val="center"/>
    </w:pPr>
    <w:rPr>
      <w:rFonts w:ascii="Arial" w:hAnsi="Arial" w:eastAsia="宋体"/>
      <w:sz w:val="28"/>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8">
    <w:name w:val="Table Grid"/>
    <w:basedOn w:val="17"/>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List Paragraph"/>
    <w:basedOn w:val="1"/>
    <w:qFormat/>
    <w:uiPriority w:val="34"/>
    <w:pPr>
      <w:ind w:firstLine="420" w:firstLineChars="200"/>
    </w:pPr>
  </w:style>
  <w:style w:type="character" w:customStyle="1" w:styleId="21">
    <w:name w:val="font31"/>
    <w:basedOn w:val="19"/>
    <w:qFormat/>
    <w:uiPriority w:val="0"/>
    <w:rPr>
      <w:rFonts w:hint="eastAsia" w:ascii="华文仿宋" w:hAnsi="华文仿宋" w:eastAsia="华文仿宋" w:cs="华文仿宋"/>
      <w:color w:val="000000"/>
      <w:sz w:val="21"/>
      <w:szCs w:val="21"/>
      <w:u w:val="none"/>
    </w:rPr>
  </w:style>
  <w:style w:type="character" w:customStyle="1" w:styleId="22">
    <w:name w:val="font41"/>
    <w:basedOn w:val="19"/>
    <w:qFormat/>
    <w:uiPriority w:val="0"/>
    <w:rPr>
      <w:rFonts w:hint="eastAsia" w:ascii="华文仿宋" w:hAnsi="华文仿宋" w:eastAsia="华文仿宋" w:cs="华文仿宋"/>
      <w:color w:val="000000"/>
      <w:sz w:val="20"/>
      <w:szCs w:val="20"/>
      <w:u w:val="none"/>
    </w:rPr>
  </w:style>
  <w:style w:type="table" w:customStyle="1" w:styleId="23">
    <w:name w:val="网格型1"/>
    <w:basedOn w:val="1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网格型2"/>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网格型3"/>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网格型4"/>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font21"/>
    <w:basedOn w:val="19"/>
    <w:qFormat/>
    <w:uiPriority w:val="0"/>
    <w:rPr>
      <w:rFonts w:hint="eastAsia" w:ascii="等线" w:hAnsi="等线" w:eastAsia="等线" w:cs="等线"/>
      <w:color w:val="000000"/>
      <w:sz w:val="18"/>
      <w:szCs w:val="18"/>
      <w:u w:val="none"/>
    </w:rPr>
  </w:style>
  <w:style w:type="paragraph" w:customStyle="1" w:styleId="28">
    <w:name w:val="列表段落1"/>
    <w:basedOn w:val="1"/>
    <w:qFormat/>
    <w:uiPriority w:val="99"/>
    <w:pPr>
      <w:ind w:firstLine="420" w:firstLineChars="200"/>
    </w:pPr>
  </w:style>
  <w:style w:type="paragraph" w:customStyle="1" w:styleId="29">
    <w:name w:val="正文-无缩进"/>
    <w:basedOn w:val="1"/>
    <w:qFormat/>
    <w:uiPriority w:val="0"/>
    <w:pPr>
      <w:spacing w:before="0" w:beforeLines="0" w:after="0" w:afterLines="0"/>
      <w:ind w:firstLine="0" w:firstLineChars="0"/>
      <w:jc w:val="left"/>
    </w:pPr>
    <w:rPr>
      <w:rFonts w:ascii="宋体" w:hAnsi="宋体" w:cs="宋体"/>
      <w:szCs w:val="18"/>
    </w:rPr>
  </w:style>
  <w:style w:type="character" w:customStyle="1" w:styleId="30">
    <w:name w:val="标题 1 Char"/>
    <w:link w:val="2"/>
    <w:qFormat/>
    <w:uiPriority w:val="0"/>
    <w:rPr>
      <w:rFonts w:ascii="Arial" w:hAnsi="Arial" w:eastAsia="微软雅黑"/>
      <w:b/>
      <w:kern w:val="44"/>
      <w:sz w:val="36"/>
    </w:rPr>
  </w:style>
  <w:style w:type="paragraph" w:customStyle="1" w:styleId="31">
    <w:name w:val="列出段落1"/>
    <w:basedOn w:val="1"/>
    <w:autoRedefine/>
    <w:qFormat/>
    <w:uiPriority w:val="99"/>
    <w:pPr>
      <w:ind w:firstLine="420" w:firstLineChars="200"/>
    </w:pPr>
    <w:rPr>
      <w:rFonts w:ascii="Calibri" w:hAnsi="Calibri" w:cs="Calibri"/>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1873</Words>
  <Characters>1895</Characters>
  <Lines>0</Lines>
  <Paragraphs>0</Paragraphs>
  <TotalTime>36</TotalTime>
  <ScaleCrop>false</ScaleCrop>
  <LinksUpToDate>false</LinksUpToDate>
  <CharactersWithSpaces>1906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wangnan</dc:creator>
  <cp:lastModifiedBy>鱼鱼子</cp:lastModifiedBy>
  <dcterms:modified xsi:type="dcterms:W3CDTF">2025-08-20T05:43:27Z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eyJoZGlkIjoiNTZmOGY4YWE4ZjVkYjAwMWFiMjE0MTk1NmExZjlhMjAiLCJ1c2VySWQiOiIyNDE4NDI4MzgifQ==</vt:lpwstr>
  </property>
  <property fmtid="{D5CDD505-2E9C-101B-9397-08002B2CF9AE}" pid="6" name="ICV">
    <vt:lpwstr>51D9561A97134D4587582775AF2812D4_13</vt:lpwstr>
  </property>
</Properties>
</file>